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4CA" w:rsidRPr="00DB64CA" w:rsidRDefault="00DB64CA"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What Is the Dow Theory?</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The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is a financial theory that says the market is in an upward trend if one of its averages (i.e. </w:t>
      </w:r>
      <w:hyperlink r:id="rId5" w:history="1">
        <w:r w:rsidRPr="007539CE">
          <w:rPr>
            <w:rFonts w:ascii="Arial" w:eastAsia="Times New Roman" w:hAnsi="Arial" w:cs="Arial"/>
            <w:color w:val="000000" w:themeColor="text1"/>
            <w:sz w:val="29"/>
            <w:u w:val="single"/>
            <w:lang w:eastAsia="en-IN"/>
          </w:rPr>
          <w:t>industrials</w:t>
        </w:r>
      </w:hyperlink>
      <w:r w:rsidRPr="00DB64CA">
        <w:rPr>
          <w:rFonts w:ascii="Arial" w:eastAsia="Times New Roman" w:hAnsi="Arial" w:cs="Arial"/>
          <w:color w:val="000000" w:themeColor="text1"/>
          <w:sz w:val="29"/>
          <w:szCs w:val="29"/>
          <w:lang w:eastAsia="en-IN"/>
        </w:rPr>
        <w:t> or </w:t>
      </w:r>
      <w:hyperlink r:id="rId6" w:history="1">
        <w:r w:rsidRPr="007539CE">
          <w:rPr>
            <w:rFonts w:ascii="Arial" w:eastAsia="Times New Roman" w:hAnsi="Arial" w:cs="Arial"/>
            <w:color w:val="000000" w:themeColor="text1"/>
            <w:sz w:val="29"/>
            <w:u w:val="single"/>
            <w:lang w:eastAsia="en-IN"/>
          </w:rPr>
          <w:t>transportation</w:t>
        </w:r>
      </w:hyperlink>
      <w:r w:rsidRPr="00DB64CA">
        <w:rPr>
          <w:rFonts w:ascii="Arial" w:eastAsia="Times New Roman" w:hAnsi="Arial" w:cs="Arial"/>
          <w:color w:val="000000" w:themeColor="text1"/>
          <w:sz w:val="29"/>
          <w:szCs w:val="29"/>
          <w:lang w:eastAsia="en-IN"/>
        </w:rPr>
        <w:t>) advances above a previous important high and is accompanied or followed by a similar advance in the other average. For example, if the Dow Jones Industrial Average (DJIA) climbs to an intermediate high, the Dow Jones Transportation Average (DJTA) is expected to follow suit within a reasonable period of time.</w:t>
      </w:r>
    </w:p>
    <w:p w:rsidR="00DB64CA" w:rsidRPr="00DB64CA" w:rsidRDefault="00DB64CA" w:rsidP="00C46849">
      <w:pPr>
        <w:spacing w:after="0" w:line="240" w:lineRule="auto"/>
        <w:jc w:val="both"/>
        <w:outlineLvl w:val="2"/>
        <w:rPr>
          <w:rFonts w:ascii="Arial" w:eastAsia="Times New Roman" w:hAnsi="Arial" w:cs="Arial"/>
          <w:caps/>
          <w:color w:val="000000" w:themeColor="text1"/>
          <w:sz w:val="27"/>
          <w:szCs w:val="27"/>
          <w:lang w:eastAsia="en-IN"/>
        </w:rPr>
      </w:pPr>
      <w:r w:rsidRPr="00DB64CA">
        <w:rPr>
          <w:rFonts w:ascii="Arial" w:eastAsia="Times New Roman" w:hAnsi="Arial" w:cs="Arial"/>
          <w:caps/>
          <w:color w:val="000000" w:themeColor="text1"/>
          <w:sz w:val="27"/>
          <w:szCs w:val="27"/>
          <w:lang w:eastAsia="en-IN"/>
        </w:rPr>
        <w:t>KEY TAKEAWAYS</w:t>
      </w:r>
    </w:p>
    <w:p w:rsidR="00DB64CA" w:rsidRPr="00DB64CA" w:rsidRDefault="00DB64CA" w:rsidP="00C46849">
      <w:pPr>
        <w:numPr>
          <w:ilvl w:val="0"/>
          <w:numId w:val="1"/>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The Dow Theory is a technical framework that predicts the market is in an upward trend if one of its averages advances above a previous important high, accompanied or followed by a similar advance in the other average.</w:t>
      </w:r>
    </w:p>
    <w:p w:rsidR="00DB64CA" w:rsidRPr="00DB64CA" w:rsidRDefault="00DB64CA" w:rsidP="00C46849">
      <w:pPr>
        <w:numPr>
          <w:ilvl w:val="0"/>
          <w:numId w:val="1"/>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The theory is predicated on the notion that the market discounts everything in a way consistent with the efficient markets hypothesis.</w:t>
      </w:r>
    </w:p>
    <w:p w:rsidR="00DB64CA" w:rsidRPr="00DB64CA" w:rsidRDefault="00DB64CA" w:rsidP="00C46849">
      <w:pPr>
        <w:numPr>
          <w:ilvl w:val="0"/>
          <w:numId w:val="1"/>
        </w:numPr>
        <w:spacing w:before="100" w:beforeAutospacing="1" w:after="0"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In such a paradigm, different market indices must confirm each other in terms of price action and volume patterns until trends reverse.</w:t>
      </w:r>
    </w:p>
    <w:p w:rsidR="00DB64CA" w:rsidRPr="00DB64CA" w:rsidRDefault="00DB64CA" w:rsidP="00C46849">
      <w:pPr>
        <w:spacing w:before="100" w:beforeAutospacing="1" w:after="100" w:afterAutospacing="1" w:line="240" w:lineRule="auto"/>
        <w:jc w:val="both"/>
        <w:outlineLvl w:val="3"/>
        <w:rPr>
          <w:rFonts w:ascii="Arial" w:eastAsia="Times New Roman" w:hAnsi="Arial" w:cs="Arial"/>
          <w:b/>
          <w:bCs/>
          <w:color w:val="000000" w:themeColor="text1"/>
          <w:sz w:val="24"/>
          <w:szCs w:val="24"/>
          <w:lang w:eastAsia="en-IN"/>
        </w:rPr>
      </w:pPr>
      <w:r w:rsidRPr="00DB64CA">
        <w:rPr>
          <w:rFonts w:ascii="Arial" w:eastAsia="Times New Roman" w:hAnsi="Arial" w:cs="Arial"/>
          <w:b/>
          <w:bCs/>
          <w:color w:val="000000" w:themeColor="text1"/>
          <w:sz w:val="24"/>
          <w:szCs w:val="24"/>
          <w:lang w:eastAsia="en-IN"/>
        </w:rPr>
        <w:t>The Dow Jones Industrial Average</w:t>
      </w:r>
    </w:p>
    <w:p w:rsidR="00DB64CA" w:rsidRPr="00DB64CA" w:rsidRDefault="00DB64CA"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Understanding the Dow Theory</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The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is an approach to trading developed by </w:t>
      </w:r>
      <w:hyperlink r:id="rId7" w:history="1">
        <w:r w:rsidRPr="007539CE">
          <w:rPr>
            <w:rFonts w:ascii="Arial" w:eastAsia="Times New Roman" w:hAnsi="Arial" w:cs="Arial"/>
            <w:color w:val="000000" w:themeColor="text1"/>
            <w:sz w:val="29"/>
            <w:u w:val="single"/>
            <w:lang w:eastAsia="en-IN"/>
          </w:rPr>
          <w:t>Charles H. Dow</w:t>
        </w:r>
      </w:hyperlink>
      <w:r w:rsidRPr="00DB64CA">
        <w:rPr>
          <w:rFonts w:ascii="Arial" w:eastAsia="Times New Roman" w:hAnsi="Arial" w:cs="Arial"/>
          <w:color w:val="000000" w:themeColor="text1"/>
          <w:sz w:val="29"/>
          <w:szCs w:val="29"/>
          <w:lang w:eastAsia="en-IN"/>
        </w:rPr>
        <w:t xml:space="preserve"> who, with Edward Jones and Charles </w:t>
      </w:r>
      <w:proofErr w:type="spellStart"/>
      <w:r w:rsidRPr="00DB64CA">
        <w:rPr>
          <w:rFonts w:ascii="Arial" w:eastAsia="Times New Roman" w:hAnsi="Arial" w:cs="Arial"/>
          <w:color w:val="000000" w:themeColor="text1"/>
          <w:sz w:val="29"/>
          <w:szCs w:val="29"/>
          <w:lang w:eastAsia="en-IN"/>
        </w:rPr>
        <w:t>Bergstresser</w:t>
      </w:r>
      <w:proofErr w:type="spellEnd"/>
      <w:r w:rsidRPr="00DB64CA">
        <w:rPr>
          <w:rFonts w:ascii="Arial" w:eastAsia="Times New Roman" w:hAnsi="Arial" w:cs="Arial"/>
          <w:color w:val="000000" w:themeColor="text1"/>
          <w:sz w:val="29"/>
          <w:szCs w:val="29"/>
          <w:lang w:eastAsia="en-IN"/>
        </w:rPr>
        <w:t>, founded Dow Jones &amp; Company, Inc. and developed the Dow Jones Industrial Average in 1896. Dow fleshed out the theory in a series of editorials in the </w:t>
      </w:r>
      <w:r w:rsidRPr="007539CE">
        <w:rPr>
          <w:rFonts w:ascii="Arial" w:eastAsia="Times New Roman" w:hAnsi="Arial" w:cs="Arial"/>
          <w:i/>
          <w:iCs/>
          <w:color w:val="000000" w:themeColor="text1"/>
          <w:sz w:val="29"/>
          <w:lang w:eastAsia="en-IN"/>
        </w:rPr>
        <w:t>Wall Street Journal</w:t>
      </w:r>
      <w:r w:rsidRPr="00DB64CA">
        <w:rPr>
          <w:rFonts w:ascii="Arial" w:eastAsia="Times New Roman" w:hAnsi="Arial" w:cs="Arial"/>
          <w:color w:val="000000" w:themeColor="text1"/>
          <w:sz w:val="29"/>
          <w:szCs w:val="29"/>
          <w:lang w:eastAsia="en-IN"/>
        </w:rPr>
        <w:t>, which he co-founded.</w:t>
      </w:r>
      <w:r w:rsidRPr="007539CE">
        <w:rPr>
          <w:rFonts w:ascii="Arial" w:eastAsia="Times New Roman" w:hAnsi="Arial" w:cs="Arial"/>
          <w:color w:val="000000" w:themeColor="text1"/>
          <w:spacing w:val="17"/>
          <w:vertAlign w:val="superscript"/>
          <w:lang w:eastAsia="en-IN"/>
        </w:rPr>
        <w:t>1</w:t>
      </w:r>
      <w:r w:rsidRPr="00DB64CA">
        <w:rPr>
          <w:rFonts w:ascii="Arial" w:eastAsia="Times New Roman" w:hAnsi="Arial" w:cs="Arial"/>
          <w:color w:val="000000" w:themeColor="text1"/>
          <w:sz w:val="29"/>
          <w:szCs w:val="29"/>
          <w:lang w:eastAsia="en-IN"/>
        </w:rPr>
        <w:t>﻿</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Charles Dow died in 1902, and due to his death, he never published his complete theory on the markets, but several followers and associates have published works that have expanded on the editorials. Some of the most important contributions to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include the following:</w:t>
      </w:r>
    </w:p>
    <w:p w:rsidR="00DB64CA" w:rsidRPr="00DB64CA" w:rsidRDefault="00DB64CA" w:rsidP="00C46849">
      <w:pPr>
        <w:numPr>
          <w:ilvl w:val="0"/>
          <w:numId w:val="2"/>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William P. Hamilton's "The Stock Market Barometer" (1922)</w:t>
      </w:r>
    </w:p>
    <w:p w:rsidR="00DB64CA" w:rsidRPr="00DB64CA" w:rsidRDefault="00DB64CA" w:rsidP="00C46849">
      <w:pPr>
        <w:numPr>
          <w:ilvl w:val="0"/>
          <w:numId w:val="2"/>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Robert Rhea's "The Dow Theory" (1932)</w:t>
      </w:r>
    </w:p>
    <w:p w:rsidR="00DB64CA" w:rsidRPr="00DB64CA" w:rsidRDefault="00DB64CA" w:rsidP="00C46849">
      <w:pPr>
        <w:numPr>
          <w:ilvl w:val="0"/>
          <w:numId w:val="2"/>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E. George Schaefer's "How I Helped More Than 10,000 Investors To Profit In Stocks" (1960)</w:t>
      </w:r>
    </w:p>
    <w:p w:rsidR="00DB64CA" w:rsidRPr="00DB64CA" w:rsidRDefault="00DB64CA" w:rsidP="00C46849">
      <w:pPr>
        <w:numPr>
          <w:ilvl w:val="0"/>
          <w:numId w:val="2"/>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Richard Russell's "The Dow Theory Today" (1961)</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lastRenderedPageBreak/>
        <w:t xml:space="preserve">Dow believed that the stock market as a whole was a reliable measure of overall business conditions within the economy and that by analyzing the overall </w:t>
      </w:r>
      <w:proofErr w:type="gramStart"/>
      <w:r w:rsidRPr="00DB64CA">
        <w:rPr>
          <w:rFonts w:ascii="Arial" w:eastAsia="Times New Roman" w:hAnsi="Arial" w:cs="Arial"/>
          <w:color w:val="000000" w:themeColor="text1"/>
          <w:sz w:val="29"/>
          <w:szCs w:val="29"/>
          <w:lang w:eastAsia="en-IN"/>
        </w:rPr>
        <w:t>market,</w:t>
      </w:r>
      <w:proofErr w:type="gramEnd"/>
      <w:r w:rsidRPr="00DB64CA">
        <w:rPr>
          <w:rFonts w:ascii="Arial" w:eastAsia="Times New Roman" w:hAnsi="Arial" w:cs="Arial"/>
          <w:color w:val="000000" w:themeColor="text1"/>
          <w:sz w:val="29"/>
          <w:szCs w:val="29"/>
          <w:lang w:eastAsia="en-IN"/>
        </w:rPr>
        <w:t xml:space="preserve"> one could accurately gauge those conditions and identify the direction of major market trends and the likely direction of individual stocks.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The theory has undergone further developments in its 100-plus-year history, including contributions by William Hamilton in the 1920s, Robert Rhea in the 1930s, and E. George </w:t>
      </w:r>
      <w:proofErr w:type="spellStart"/>
      <w:r w:rsidRPr="00DB64CA">
        <w:rPr>
          <w:rFonts w:ascii="Arial" w:eastAsia="Times New Roman" w:hAnsi="Arial" w:cs="Arial"/>
          <w:color w:val="000000" w:themeColor="text1"/>
          <w:sz w:val="29"/>
          <w:szCs w:val="29"/>
          <w:lang w:eastAsia="en-IN"/>
        </w:rPr>
        <w:t>Shaefer</w:t>
      </w:r>
      <w:proofErr w:type="spellEnd"/>
      <w:r w:rsidRPr="00DB64CA">
        <w:rPr>
          <w:rFonts w:ascii="Arial" w:eastAsia="Times New Roman" w:hAnsi="Arial" w:cs="Arial"/>
          <w:color w:val="000000" w:themeColor="text1"/>
          <w:sz w:val="29"/>
          <w:szCs w:val="29"/>
          <w:lang w:eastAsia="en-IN"/>
        </w:rPr>
        <w:t xml:space="preserve"> and Richard Russell in the 1960s. Aspects of the theory have lost ground, for example, its emphasis on the transportation sector—or railroads, in its original form—but Dow's approach still forms the core of modern </w:t>
      </w:r>
      <w:hyperlink r:id="rId8" w:history="1">
        <w:r w:rsidRPr="007539CE">
          <w:rPr>
            <w:rFonts w:ascii="Arial" w:eastAsia="Times New Roman" w:hAnsi="Arial" w:cs="Arial"/>
            <w:color w:val="000000" w:themeColor="text1"/>
            <w:sz w:val="29"/>
            <w:u w:val="single"/>
            <w:lang w:eastAsia="en-IN"/>
          </w:rPr>
          <w:t>technical analysis</w:t>
        </w:r>
      </w:hyperlink>
      <w:r w:rsidRPr="00DB64CA">
        <w:rPr>
          <w:rFonts w:ascii="Arial" w:eastAsia="Times New Roman" w:hAnsi="Arial" w:cs="Arial"/>
          <w:color w:val="000000" w:themeColor="text1"/>
          <w:sz w:val="29"/>
          <w:szCs w:val="29"/>
          <w:lang w:eastAsia="en-IN"/>
        </w:rPr>
        <w:t>.</w:t>
      </w:r>
    </w:p>
    <w:p w:rsidR="00DB64CA" w:rsidRPr="00DB64CA" w:rsidRDefault="00DB64CA"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How the Dow Theory Works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There are six main components to the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w:t>
      </w:r>
    </w:p>
    <w:p w:rsidR="00DB64CA" w:rsidRPr="00DB64CA" w:rsidRDefault="00DB64CA"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1. The Market Discounts Everything</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The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operates on the efficient markets hypothesis (EMH), which states that asset prices incorporate all available information. In other words, this approach is the antithesis of </w:t>
      </w:r>
      <w:proofErr w:type="spellStart"/>
      <w:r w:rsidRPr="00DB64CA">
        <w:rPr>
          <w:rFonts w:ascii="Arial" w:eastAsia="Times New Roman" w:hAnsi="Arial" w:cs="Arial"/>
          <w:color w:val="000000" w:themeColor="text1"/>
          <w:sz w:val="29"/>
          <w:szCs w:val="29"/>
          <w:lang w:eastAsia="en-IN"/>
        </w:rPr>
        <w:t>behavioral</w:t>
      </w:r>
      <w:proofErr w:type="spellEnd"/>
      <w:r w:rsidRPr="00DB64CA">
        <w:rPr>
          <w:rFonts w:ascii="Arial" w:eastAsia="Times New Roman" w:hAnsi="Arial" w:cs="Arial"/>
          <w:color w:val="000000" w:themeColor="text1"/>
          <w:sz w:val="29"/>
          <w:szCs w:val="29"/>
          <w:lang w:eastAsia="en-IN"/>
        </w:rPr>
        <w:t xml:space="preserve"> economics.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Earnings potential, competitive advantage, management competence—all of these factors and more are priced into the market, even if not every individual knows all or any of these details. In more strict readings of this theory, even future events are discounted in the form of risk.</w:t>
      </w:r>
    </w:p>
    <w:p w:rsidR="00DB64CA" w:rsidRPr="00DB64CA" w:rsidRDefault="00DB64CA"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2. There Are Three Primary Kinds of Market Trends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Markets experience primary trends which last a year or more, such as a bull or bear market. Within these broader trends, they experience secondary trends, often working against the primary trend, such as a </w:t>
      </w:r>
      <w:hyperlink r:id="rId9" w:history="1">
        <w:r w:rsidRPr="007539CE">
          <w:rPr>
            <w:rFonts w:ascii="Arial" w:eastAsia="Times New Roman" w:hAnsi="Arial" w:cs="Arial"/>
            <w:color w:val="000000" w:themeColor="text1"/>
            <w:sz w:val="29"/>
            <w:u w:val="single"/>
            <w:lang w:eastAsia="en-IN"/>
          </w:rPr>
          <w:t>pullback</w:t>
        </w:r>
      </w:hyperlink>
      <w:r w:rsidRPr="00DB64CA">
        <w:rPr>
          <w:rFonts w:ascii="Arial" w:eastAsia="Times New Roman" w:hAnsi="Arial" w:cs="Arial"/>
          <w:color w:val="000000" w:themeColor="text1"/>
          <w:sz w:val="29"/>
          <w:szCs w:val="29"/>
          <w:lang w:eastAsia="en-IN"/>
        </w:rPr>
        <w:t> within a bull market or a rally within a bear market; these secondary trends last from three weeks to three months. Finally, there are minor trends lasting less than three weeks, which are largely noise.</w:t>
      </w:r>
    </w:p>
    <w:p w:rsidR="00DB64CA" w:rsidRPr="00DB64CA" w:rsidRDefault="00DB64CA"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3. Primary Trends Have Three Phases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A primary trend will pass through three phases, according to the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In a bull market, these are the accumulation phase, the public participation (or big move) phase, and the excess phase. In a bear </w:t>
      </w:r>
      <w:r w:rsidRPr="00DB64CA">
        <w:rPr>
          <w:rFonts w:ascii="Arial" w:eastAsia="Times New Roman" w:hAnsi="Arial" w:cs="Arial"/>
          <w:color w:val="000000" w:themeColor="text1"/>
          <w:sz w:val="29"/>
          <w:szCs w:val="29"/>
          <w:lang w:eastAsia="en-IN"/>
        </w:rPr>
        <w:lastRenderedPageBreak/>
        <w:t>market, they are called the distribution phase, the public participation phase, and the panic (or despair) phase.</w:t>
      </w:r>
    </w:p>
    <w:p w:rsidR="00DB64CA" w:rsidRPr="00DB64CA" w:rsidRDefault="00DB64CA"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4. Indices Must Confirm Each Other</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In order for a trend to be established, Dow postulated indices or market averages must confirm each other. This means that the signals that occur on one index must match or correspond with the signals on the other. If one index, such as the Dow Jones Industrial Average, is confirming a new primary uptrend, but another index remains in a primary downward trend, traders should not assume that a new trend has begun.</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Dow used the two indices he and his partners invented, the Dow Jones Industrial Average (DJIA) and the Dow Jones Transportation Average (DJTA), on the assumption that if business conditions were, in fact, healthy, as a rise in the DJIA might suggest, the railroads would be profiting from moving the freight this business activity required. If asset prices were rising but the railroads were suffering, the trend would likely not be sustainable. The converse also applies: if railroads are profiting but the market is in a downturn, there is no clear trend.</w:t>
      </w:r>
    </w:p>
    <w:p w:rsidR="00DB64CA" w:rsidRPr="00DB64CA" w:rsidRDefault="00DB64CA"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5. Volume Must Confirm the Trend</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Volume should increase if the price is moving in the direction of the primary trend and decrease if it is moving against it. Low volume signals a weakness in the trend. For example, in a bull market, the volume should increase as the price is rising, and fall during secondary pullbacks. If in this example the volume picks up during a pullback, it could be a sign that the trend is reversing as more market participants turn bearish.</w:t>
      </w:r>
    </w:p>
    <w:p w:rsidR="00DB64CA" w:rsidRPr="00DB64CA" w:rsidRDefault="00DB64CA"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6. Trends Persist Until a Clear Reversal Occurs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Reversals in primary trends can be confused with secondary trends. It is difficult to determine whether an upswing in a bear market is a reversal or a short-lived rally to be followed by still lower lows, and the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advocates caution, insisting that a possible reversal be confirmed.</w:t>
      </w:r>
    </w:p>
    <w:p w:rsidR="00DB64CA" w:rsidRPr="00DB64CA" w:rsidRDefault="00DB64CA"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Special Considerations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Here are some additional points to consider about Dow Theory.</w:t>
      </w:r>
    </w:p>
    <w:p w:rsidR="00DB64CA" w:rsidRPr="00DB64CA" w:rsidRDefault="00DB64CA"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Closing Prices and Line Ranges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lastRenderedPageBreak/>
        <w:t>Charles Dow relied solely on closing prices and was not concerned about the intraday movements of the index. For a trend signal to be formed, the closing price has to signal the trend, not an intraday price movement. </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Another feature in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is the idea of line ranges, also referred to as trading ranges in other areas of technical analysis. These periods of sideways (or horizontal) price movements are seen as a period of consolidation, and traders should wait for the price movement to break the trend line before coming to a </w:t>
      </w:r>
      <w:hyperlink r:id="rId10" w:history="1">
        <w:r w:rsidRPr="007539CE">
          <w:rPr>
            <w:rFonts w:ascii="Arial" w:eastAsia="Times New Roman" w:hAnsi="Arial" w:cs="Arial"/>
            <w:color w:val="000000" w:themeColor="text1"/>
            <w:sz w:val="29"/>
            <w:u w:val="single"/>
            <w:lang w:eastAsia="en-IN"/>
          </w:rPr>
          <w:t>conclusion on which way the market</w:t>
        </w:r>
      </w:hyperlink>
      <w:r w:rsidRPr="00DB64CA">
        <w:rPr>
          <w:rFonts w:ascii="Arial" w:eastAsia="Times New Roman" w:hAnsi="Arial" w:cs="Arial"/>
          <w:color w:val="000000" w:themeColor="text1"/>
          <w:sz w:val="29"/>
          <w:szCs w:val="29"/>
          <w:lang w:eastAsia="en-IN"/>
        </w:rPr>
        <w:t> is headed. For example, if the price were to move above the line, it's likely that the market will trend up.</w:t>
      </w:r>
    </w:p>
    <w:p w:rsidR="00DB64CA" w:rsidRPr="00DB64CA" w:rsidRDefault="00DB64CA"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Signals and Identification of Trends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One difficult aspect of implementing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is the accurate identification of trend reversals. Remember, a follower of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trades with the overall direction of the market, so it is vital that he or she identifies </w:t>
      </w:r>
      <w:hyperlink r:id="rId11" w:history="1">
        <w:r w:rsidRPr="007539CE">
          <w:rPr>
            <w:rFonts w:ascii="Arial" w:eastAsia="Times New Roman" w:hAnsi="Arial" w:cs="Arial"/>
            <w:color w:val="000000" w:themeColor="text1"/>
            <w:sz w:val="29"/>
            <w:u w:val="single"/>
            <w:lang w:eastAsia="en-IN"/>
          </w:rPr>
          <w:t>the points at which this direction shifts</w:t>
        </w:r>
      </w:hyperlink>
      <w:r w:rsidRPr="00DB64CA">
        <w:rPr>
          <w:rFonts w:ascii="Arial" w:eastAsia="Times New Roman" w:hAnsi="Arial" w:cs="Arial"/>
          <w:color w:val="000000" w:themeColor="text1"/>
          <w:sz w:val="29"/>
          <w:szCs w:val="29"/>
          <w:lang w:eastAsia="en-IN"/>
        </w:rPr>
        <w:t>.</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One of the main techniques used to identify trend reversals in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is peak-and-trough analysis. A </w:t>
      </w:r>
      <w:hyperlink r:id="rId12" w:history="1">
        <w:r w:rsidRPr="007539CE">
          <w:rPr>
            <w:rFonts w:ascii="Arial" w:eastAsia="Times New Roman" w:hAnsi="Arial" w:cs="Arial"/>
            <w:color w:val="000000" w:themeColor="text1"/>
            <w:sz w:val="29"/>
            <w:u w:val="single"/>
            <w:lang w:eastAsia="en-IN"/>
          </w:rPr>
          <w:t>peak</w:t>
        </w:r>
      </w:hyperlink>
      <w:r w:rsidRPr="00DB64CA">
        <w:rPr>
          <w:rFonts w:ascii="Arial" w:eastAsia="Times New Roman" w:hAnsi="Arial" w:cs="Arial"/>
          <w:color w:val="000000" w:themeColor="text1"/>
          <w:sz w:val="29"/>
          <w:szCs w:val="29"/>
          <w:lang w:eastAsia="en-IN"/>
        </w:rPr>
        <w:t> is defined as the highest price of a market movement, while a </w:t>
      </w:r>
      <w:hyperlink r:id="rId13" w:history="1">
        <w:r w:rsidRPr="007539CE">
          <w:rPr>
            <w:rFonts w:ascii="Arial" w:eastAsia="Times New Roman" w:hAnsi="Arial" w:cs="Arial"/>
            <w:color w:val="000000" w:themeColor="text1"/>
            <w:sz w:val="29"/>
            <w:u w:val="single"/>
            <w:lang w:eastAsia="en-IN"/>
          </w:rPr>
          <w:t>trough</w:t>
        </w:r>
      </w:hyperlink>
      <w:r w:rsidRPr="00DB64CA">
        <w:rPr>
          <w:rFonts w:ascii="Arial" w:eastAsia="Times New Roman" w:hAnsi="Arial" w:cs="Arial"/>
          <w:color w:val="000000" w:themeColor="text1"/>
          <w:sz w:val="29"/>
          <w:szCs w:val="29"/>
          <w:lang w:eastAsia="en-IN"/>
        </w:rPr>
        <w:t xml:space="preserve"> is seen as the lowest price of a market movement. Note that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assumes that the market doesn't move in a straight line but from highs (peaks) to lows (troughs), with the </w:t>
      </w:r>
      <w:hyperlink r:id="rId14" w:history="1">
        <w:r w:rsidRPr="007539CE">
          <w:rPr>
            <w:rFonts w:ascii="Arial" w:eastAsia="Times New Roman" w:hAnsi="Arial" w:cs="Arial"/>
            <w:color w:val="000000" w:themeColor="text1"/>
            <w:sz w:val="29"/>
            <w:u w:val="single"/>
            <w:lang w:eastAsia="en-IN"/>
          </w:rPr>
          <w:t>overall moves of the market</w:t>
        </w:r>
      </w:hyperlink>
      <w:r w:rsidRPr="00DB64CA">
        <w:rPr>
          <w:rFonts w:ascii="Arial" w:eastAsia="Times New Roman" w:hAnsi="Arial" w:cs="Arial"/>
          <w:color w:val="000000" w:themeColor="text1"/>
          <w:sz w:val="29"/>
          <w:szCs w:val="29"/>
          <w:lang w:eastAsia="en-IN"/>
        </w:rPr>
        <w:t> trending in a direction.</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An upward trend in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is a series of successively higher peaks and higher troughs. A downward trend is a series of successively lower peaks and lower troughs.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The sixth tenet of Dow </w:t>
      </w:r>
      <w:proofErr w:type="gramStart"/>
      <w:r w:rsidRPr="00DB64CA">
        <w:rPr>
          <w:rFonts w:ascii="Arial" w:eastAsia="Times New Roman" w:hAnsi="Arial" w:cs="Arial"/>
          <w:color w:val="000000" w:themeColor="text1"/>
          <w:sz w:val="29"/>
          <w:szCs w:val="29"/>
          <w:lang w:eastAsia="en-IN"/>
        </w:rPr>
        <w:t>theory</w:t>
      </w:r>
      <w:proofErr w:type="gramEnd"/>
      <w:r w:rsidRPr="00DB64CA">
        <w:rPr>
          <w:rFonts w:ascii="Arial" w:eastAsia="Times New Roman" w:hAnsi="Arial" w:cs="Arial"/>
          <w:color w:val="000000" w:themeColor="text1"/>
          <w:sz w:val="29"/>
          <w:szCs w:val="29"/>
          <w:lang w:eastAsia="en-IN"/>
        </w:rPr>
        <w:t xml:space="preserve"> contends that a trend remains in effect until there is a clear sign that the trend has reversed. Much like Newton's first law of motion, </w:t>
      </w:r>
      <w:hyperlink r:id="rId15" w:history="1">
        <w:r w:rsidRPr="007539CE">
          <w:rPr>
            <w:rFonts w:ascii="Arial" w:eastAsia="Times New Roman" w:hAnsi="Arial" w:cs="Arial"/>
            <w:color w:val="000000" w:themeColor="text1"/>
            <w:sz w:val="29"/>
            <w:u w:val="single"/>
            <w:lang w:eastAsia="en-IN"/>
          </w:rPr>
          <w:t>an object in motion tends to move in a single direction</w:t>
        </w:r>
      </w:hyperlink>
      <w:r w:rsidRPr="00DB64CA">
        <w:rPr>
          <w:rFonts w:ascii="Arial" w:eastAsia="Times New Roman" w:hAnsi="Arial" w:cs="Arial"/>
          <w:color w:val="000000" w:themeColor="text1"/>
          <w:sz w:val="29"/>
          <w:szCs w:val="29"/>
          <w:lang w:eastAsia="en-IN"/>
        </w:rPr>
        <w:t> until a force disrupts that movement. Similarly, the market will continue to move in a primary direction until a force, such as a change in business conditions, is strong enough to change the direction of this primary move.</w:t>
      </w:r>
    </w:p>
    <w:p w:rsidR="00DB64CA" w:rsidRPr="00DB64CA" w:rsidRDefault="00DB64CA"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Reversals</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 xml:space="preserve">A reversal in the primary trend is </w:t>
      </w:r>
      <w:proofErr w:type="spellStart"/>
      <w:r w:rsidRPr="00DB64CA">
        <w:rPr>
          <w:rFonts w:ascii="Arial" w:eastAsia="Times New Roman" w:hAnsi="Arial" w:cs="Arial"/>
          <w:color w:val="000000" w:themeColor="text1"/>
          <w:sz w:val="29"/>
          <w:szCs w:val="29"/>
          <w:lang w:eastAsia="en-IN"/>
        </w:rPr>
        <w:t>signaled</w:t>
      </w:r>
      <w:proofErr w:type="spellEnd"/>
      <w:r w:rsidRPr="00DB64CA">
        <w:rPr>
          <w:rFonts w:ascii="Arial" w:eastAsia="Times New Roman" w:hAnsi="Arial" w:cs="Arial"/>
          <w:color w:val="000000" w:themeColor="text1"/>
          <w:sz w:val="29"/>
          <w:szCs w:val="29"/>
          <w:lang w:eastAsia="en-IN"/>
        </w:rPr>
        <w:t xml:space="preserve"> when the market is unable to create another successive peak and trough in the direction of the primary trend. For an uptrend, a reversal would be </w:t>
      </w:r>
      <w:proofErr w:type="spellStart"/>
      <w:r w:rsidRPr="00DB64CA">
        <w:rPr>
          <w:rFonts w:ascii="Arial" w:eastAsia="Times New Roman" w:hAnsi="Arial" w:cs="Arial"/>
          <w:color w:val="000000" w:themeColor="text1"/>
          <w:sz w:val="29"/>
          <w:szCs w:val="29"/>
          <w:lang w:eastAsia="en-IN"/>
        </w:rPr>
        <w:t>signaled</w:t>
      </w:r>
      <w:proofErr w:type="spellEnd"/>
      <w:r w:rsidRPr="00DB64CA">
        <w:rPr>
          <w:rFonts w:ascii="Arial" w:eastAsia="Times New Roman" w:hAnsi="Arial" w:cs="Arial"/>
          <w:color w:val="000000" w:themeColor="text1"/>
          <w:sz w:val="29"/>
          <w:szCs w:val="29"/>
          <w:lang w:eastAsia="en-IN"/>
        </w:rPr>
        <w:t xml:space="preserve"> by an </w:t>
      </w:r>
      <w:r w:rsidRPr="00DB64CA">
        <w:rPr>
          <w:rFonts w:ascii="Arial" w:eastAsia="Times New Roman" w:hAnsi="Arial" w:cs="Arial"/>
          <w:color w:val="000000" w:themeColor="text1"/>
          <w:sz w:val="29"/>
          <w:szCs w:val="29"/>
          <w:lang w:eastAsia="en-IN"/>
        </w:rPr>
        <w:lastRenderedPageBreak/>
        <w:t>inability to reach a new high followed by the inability to reach a higher low. In this situation, the market has gone from a period of successively higher highs and lows to successively lower highs and lows, which are the components of a downward primary trend.</w:t>
      </w:r>
    </w:p>
    <w:p w:rsidR="00DB64CA" w:rsidRPr="00DB64CA" w:rsidRDefault="00DB64CA" w:rsidP="00C46849">
      <w:pPr>
        <w:spacing w:after="100" w:afterAutospacing="1" w:line="240" w:lineRule="auto"/>
        <w:jc w:val="both"/>
        <w:rPr>
          <w:rFonts w:ascii="Arial" w:eastAsia="Times New Roman" w:hAnsi="Arial" w:cs="Arial"/>
          <w:color w:val="000000" w:themeColor="text1"/>
          <w:sz w:val="29"/>
          <w:szCs w:val="29"/>
          <w:lang w:eastAsia="en-IN"/>
        </w:rPr>
      </w:pPr>
      <w:r w:rsidRPr="00DB64CA">
        <w:rPr>
          <w:rFonts w:ascii="Arial" w:eastAsia="Times New Roman" w:hAnsi="Arial" w:cs="Arial"/>
          <w:color w:val="000000" w:themeColor="text1"/>
          <w:sz w:val="29"/>
          <w:szCs w:val="29"/>
          <w:lang w:eastAsia="en-IN"/>
        </w:rPr>
        <w:t>The reversal of a downward primary trend occurs when the market no longer falls to lower lows and highs. This happens when the market establishes a peak that is higher than the previous peak, followed by a </w:t>
      </w:r>
      <w:hyperlink r:id="rId16" w:history="1">
        <w:r w:rsidRPr="007539CE">
          <w:rPr>
            <w:rFonts w:ascii="Arial" w:eastAsia="Times New Roman" w:hAnsi="Arial" w:cs="Arial"/>
            <w:color w:val="000000" w:themeColor="text1"/>
            <w:sz w:val="29"/>
            <w:u w:val="single"/>
            <w:lang w:eastAsia="en-IN"/>
          </w:rPr>
          <w:t>trough that is higher than the previous trough</w:t>
        </w:r>
      </w:hyperlink>
      <w:r w:rsidRPr="00DB64CA">
        <w:rPr>
          <w:rFonts w:ascii="Arial" w:eastAsia="Times New Roman" w:hAnsi="Arial" w:cs="Arial"/>
          <w:color w:val="000000" w:themeColor="text1"/>
          <w:sz w:val="29"/>
          <w:szCs w:val="29"/>
          <w:lang w:eastAsia="en-IN"/>
        </w:rPr>
        <w:t>, which are the components of an upward trend.</w:t>
      </w:r>
    </w:p>
    <w:p w:rsidR="00F110C1" w:rsidRPr="007539CE" w:rsidRDefault="00DB64CA" w:rsidP="00C46849">
      <w:pPr>
        <w:spacing w:line="240" w:lineRule="auto"/>
        <w:jc w:val="both"/>
        <w:rPr>
          <w:color w:val="000000" w:themeColor="text1"/>
        </w:rPr>
      </w:pPr>
      <w:hyperlink r:id="rId17" w:history="1">
        <w:r w:rsidRPr="007539CE">
          <w:rPr>
            <w:rStyle w:val="Hyperlink"/>
            <w:color w:val="000000" w:themeColor="text1"/>
          </w:rPr>
          <w:t>https://www.investopedia.com/terms/d/dowtheory.asp</w:t>
        </w:r>
      </w:hyperlink>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On January 31st</w:t>
      </w:r>
      <w:proofErr w:type="gramStart"/>
      <w:r w:rsidRPr="00DB64CA">
        <w:rPr>
          <w:rFonts w:ascii="Times New Roman" w:eastAsia="Times New Roman" w:hAnsi="Times New Roman" w:cs="Times New Roman"/>
          <w:color w:val="000000" w:themeColor="text1"/>
          <w:sz w:val="27"/>
          <w:szCs w:val="27"/>
          <w:lang w:eastAsia="en-IN"/>
        </w:rPr>
        <w:t>,1901</w:t>
      </w:r>
      <w:proofErr w:type="gramEnd"/>
      <w:r w:rsidRPr="00DB64CA">
        <w:rPr>
          <w:rFonts w:ascii="Times New Roman" w:eastAsia="Times New Roman" w:hAnsi="Times New Roman" w:cs="Times New Roman"/>
          <w:color w:val="000000" w:themeColor="text1"/>
          <w:sz w:val="27"/>
          <w:szCs w:val="27"/>
          <w:lang w:eastAsia="en-IN"/>
        </w:rPr>
        <w:t xml:space="preserve"> Charles H. Dow compared the stock market to the tides of the ocean when he wrote in the </w:t>
      </w:r>
      <w:r w:rsidRPr="00DB64CA">
        <w:rPr>
          <w:rFonts w:ascii="Times New Roman" w:eastAsia="Times New Roman" w:hAnsi="Times New Roman" w:cs="Times New Roman"/>
          <w:i/>
          <w:iCs/>
          <w:color w:val="000000" w:themeColor="text1"/>
          <w:sz w:val="27"/>
          <w:szCs w:val="27"/>
          <w:lang w:eastAsia="en-IN"/>
        </w:rPr>
        <w:t>Wall Street Journal</w:t>
      </w:r>
      <w:r w:rsidRPr="00DB64CA">
        <w:rPr>
          <w:rFonts w:ascii="Times New Roman" w:eastAsia="Times New Roman" w:hAnsi="Times New Roman" w:cs="Times New Roman"/>
          <w:color w:val="000000" w:themeColor="text1"/>
          <w:sz w:val="27"/>
          <w:szCs w:val="27"/>
          <w:lang w:eastAsia="en-IN"/>
        </w:rPr>
        <w:t>  "</w:t>
      </w:r>
      <w:r w:rsidRPr="00DB64CA">
        <w:rPr>
          <w:rFonts w:ascii="Times New Roman" w:eastAsia="Times New Roman" w:hAnsi="Times New Roman" w:cs="Times New Roman"/>
          <w:b/>
          <w:bCs/>
          <w:color w:val="000000" w:themeColor="text1"/>
          <w:sz w:val="27"/>
          <w:szCs w:val="27"/>
          <w:lang w:eastAsia="en-IN"/>
        </w:rPr>
        <w:t>A person watching the tide coming in and who wishes to know the exact spot which marks the high tide, sets a stick in the sand at the points reached by the incoming waves until the stick reaches a position where the waves do not come up to it, and finally recede enough to show that the tide has turned. This method holds good in watching and determining the flood tide of the stock market</w:t>
      </w:r>
      <w:r w:rsidRPr="00DB64CA">
        <w:rPr>
          <w:rFonts w:ascii="Times New Roman" w:eastAsia="Times New Roman" w:hAnsi="Times New Roman" w:cs="Times New Roman"/>
          <w:color w:val="000000" w:themeColor="text1"/>
          <w:sz w:val="27"/>
          <w:szCs w:val="27"/>
          <w:lang w:eastAsia="en-IN"/>
        </w:rPr>
        <w:t>."</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     If you think of the Dow Jones Industrial Average as being the measure of the tide on one part of the beach, and the Dow Jones Transportation Average as a measure on another part of the beach, both used to determine that the tide is indeed coming in or going out </w:t>
      </w:r>
      <w:r w:rsidRPr="007539CE">
        <w:rPr>
          <w:rFonts w:ascii="Times New Roman" w:eastAsia="Times New Roman" w:hAnsi="Times New Roman" w:cs="Times New Roman"/>
          <w:i/>
          <w:iCs/>
          <w:color w:val="000000" w:themeColor="text1"/>
          <w:sz w:val="27"/>
          <w:szCs w:val="27"/>
          <w:lang w:eastAsia="en-IN"/>
        </w:rPr>
        <w:t>all along the seashore</w:t>
      </w:r>
      <w:r w:rsidRPr="00DB64CA">
        <w:rPr>
          <w:rFonts w:ascii="Times New Roman" w:eastAsia="Times New Roman" w:hAnsi="Times New Roman" w:cs="Times New Roman"/>
          <w:color w:val="000000" w:themeColor="text1"/>
          <w:sz w:val="27"/>
          <w:szCs w:val="27"/>
          <w:lang w:eastAsia="en-IN"/>
        </w:rPr>
        <w:t>, rather than rogue waves in one place or the other, you will understand what Dow was getting at.  Confirmation by both is an integral part of the Dow Theory.</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The "few hypotheses":</w:t>
      </w:r>
    </w:p>
    <w:p w:rsidR="00DB64CA" w:rsidRPr="00DB64CA" w:rsidRDefault="00DB64CA" w:rsidP="00C46849">
      <w:pPr>
        <w:numPr>
          <w:ilvl w:val="0"/>
          <w:numId w:val="3"/>
        </w:numPr>
        <w:spacing w:before="100" w:beforeAutospacing="1" w:after="100" w:afterAutospacing="1" w:line="240" w:lineRule="auto"/>
        <w:jc w:val="both"/>
        <w:rPr>
          <w:rFonts w:ascii="Arial" w:eastAsia="Times New Roman" w:hAnsi="Arial" w:cs="Arial"/>
          <w:color w:val="000000" w:themeColor="text1"/>
          <w:sz w:val="23"/>
          <w:szCs w:val="23"/>
          <w:lang w:eastAsia="en-IN"/>
        </w:rPr>
      </w:pPr>
      <w:r w:rsidRPr="00DB64CA">
        <w:rPr>
          <w:rFonts w:ascii="Arial" w:eastAsia="Times New Roman" w:hAnsi="Arial" w:cs="Arial"/>
          <w:color w:val="000000" w:themeColor="text1"/>
          <w:sz w:val="23"/>
          <w:szCs w:val="23"/>
          <w:lang w:eastAsia="en-IN"/>
        </w:rPr>
        <w:t>Manipulation is possible day-to-day but the primary trend cannot be manipulated.</w:t>
      </w:r>
    </w:p>
    <w:p w:rsidR="00DB64CA" w:rsidRPr="00DB64CA" w:rsidRDefault="00DB64CA" w:rsidP="00C46849">
      <w:pPr>
        <w:numPr>
          <w:ilvl w:val="0"/>
          <w:numId w:val="3"/>
        </w:numPr>
        <w:spacing w:before="100" w:beforeAutospacing="1" w:after="100" w:afterAutospacing="1" w:line="240" w:lineRule="auto"/>
        <w:jc w:val="both"/>
        <w:rPr>
          <w:rFonts w:ascii="Arial" w:eastAsia="Times New Roman" w:hAnsi="Arial" w:cs="Arial"/>
          <w:color w:val="000000" w:themeColor="text1"/>
          <w:sz w:val="23"/>
          <w:szCs w:val="23"/>
          <w:lang w:eastAsia="en-IN"/>
        </w:rPr>
      </w:pPr>
      <w:r w:rsidRPr="00DB64CA">
        <w:rPr>
          <w:rFonts w:ascii="Arial" w:eastAsia="Times New Roman" w:hAnsi="Arial" w:cs="Arial"/>
          <w:color w:val="000000" w:themeColor="text1"/>
          <w:sz w:val="23"/>
          <w:szCs w:val="23"/>
          <w:lang w:eastAsia="en-IN"/>
        </w:rPr>
        <w:t>The Averages discount everything (except acts of God).</w:t>
      </w:r>
    </w:p>
    <w:p w:rsidR="00DB64CA" w:rsidRPr="00DB64CA" w:rsidRDefault="00DB64CA" w:rsidP="00C46849">
      <w:pPr>
        <w:numPr>
          <w:ilvl w:val="0"/>
          <w:numId w:val="3"/>
        </w:numPr>
        <w:spacing w:before="100" w:beforeAutospacing="1" w:after="100" w:afterAutospacing="1" w:line="240" w:lineRule="auto"/>
        <w:jc w:val="both"/>
        <w:rPr>
          <w:rFonts w:ascii="Arial" w:eastAsia="Times New Roman" w:hAnsi="Arial" w:cs="Arial"/>
          <w:color w:val="000000" w:themeColor="text1"/>
          <w:sz w:val="23"/>
          <w:szCs w:val="23"/>
          <w:lang w:eastAsia="en-IN"/>
        </w:rPr>
      </w:pPr>
      <w:r w:rsidRPr="00DB64CA">
        <w:rPr>
          <w:rFonts w:ascii="Arial" w:eastAsia="Times New Roman" w:hAnsi="Arial" w:cs="Arial"/>
          <w:color w:val="000000" w:themeColor="text1"/>
          <w:sz w:val="23"/>
          <w:szCs w:val="23"/>
          <w:lang w:eastAsia="en-IN"/>
        </w:rPr>
        <w:t>The theory is not infallible.</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The "definite theorems":</w:t>
      </w:r>
    </w:p>
    <w:p w:rsidR="00DB64CA" w:rsidRPr="00DB64CA" w:rsidRDefault="00DB64CA" w:rsidP="00C46849">
      <w:pPr>
        <w:numPr>
          <w:ilvl w:val="0"/>
          <w:numId w:val="4"/>
        </w:numPr>
        <w:spacing w:before="100" w:beforeAutospacing="1" w:after="100" w:afterAutospacing="1" w:line="240" w:lineRule="auto"/>
        <w:jc w:val="both"/>
        <w:rPr>
          <w:rFonts w:ascii="Arial" w:eastAsia="Times New Roman" w:hAnsi="Arial" w:cs="Arial"/>
          <w:color w:val="000000" w:themeColor="text1"/>
          <w:sz w:val="23"/>
          <w:szCs w:val="23"/>
          <w:lang w:eastAsia="en-IN"/>
        </w:rPr>
      </w:pPr>
      <w:r w:rsidRPr="00DB64CA">
        <w:rPr>
          <w:rFonts w:ascii="Arial" w:eastAsia="Times New Roman" w:hAnsi="Arial" w:cs="Arial"/>
          <w:color w:val="000000" w:themeColor="text1"/>
          <w:sz w:val="23"/>
          <w:szCs w:val="23"/>
          <w:lang w:eastAsia="en-IN"/>
        </w:rPr>
        <w:t>There are three movements of the averages. The first, and </w:t>
      </w:r>
      <w:r w:rsidRPr="007539CE">
        <w:rPr>
          <w:rFonts w:ascii="Arial" w:eastAsia="Times New Roman" w:hAnsi="Arial" w:cs="Arial"/>
          <w:b/>
          <w:bCs/>
          <w:color w:val="000000" w:themeColor="text1"/>
          <w:sz w:val="23"/>
          <w:lang w:eastAsia="en-IN"/>
        </w:rPr>
        <w:t>most important, is the primary trend</w:t>
      </w:r>
      <w:r w:rsidRPr="00DB64CA">
        <w:rPr>
          <w:rFonts w:ascii="Arial" w:eastAsia="Times New Roman" w:hAnsi="Arial" w:cs="Arial"/>
          <w:color w:val="000000" w:themeColor="text1"/>
          <w:sz w:val="23"/>
          <w:szCs w:val="23"/>
          <w:lang w:eastAsia="en-IN"/>
        </w:rPr>
        <w:t xml:space="preserve">. The </w:t>
      </w:r>
      <w:proofErr w:type="gramStart"/>
      <w:r w:rsidRPr="00DB64CA">
        <w:rPr>
          <w:rFonts w:ascii="Arial" w:eastAsia="Times New Roman" w:hAnsi="Arial" w:cs="Arial"/>
          <w:color w:val="000000" w:themeColor="text1"/>
          <w:sz w:val="23"/>
          <w:szCs w:val="23"/>
          <w:lang w:eastAsia="en-IN"/>
        </w:rPr>
        <w:t>second,</w:t>
      </w:r>
      <w:proofErr w:type="gramEnd"/>
      <w:r w:rsidRPr="00DB64CA">
        <w:rPr>
          <w:rFonts w:ascii="Arial" w:eastAsia="Times New Roman" w:hAnsi="Arial" w:cs="Arial"/>
          <w:color w:val="000000" w:themeColor="text1"/>
          <w:sz w:val="23"/>
          <w:szCs w:val="23"/>
          <w:lang w:eastAsia="en-IN"/>
        </w:rPr>
        <w:t xml:space="preserve"> and most deceptive is the secondary reaction. The third, and usually unimportant, is the daily movement.</w:t>
      </w:r>
    </w:p>
    <w:p w:rsidR="00DB64CA" w:rsidRPr="00DB64CA" w:rsidRDefault="00DB64CA" w:rsidP="00C46849">
      <w:pPr>
        <w:numPr>
          <w:ilvl w:val="0"/>
          <w:numId w:val="4"/>
        </w:numPr>
        <w:spacing w:before="100" w:beforeAutospacing="1" w:after="100" w:afterAutospacing="1" w:line="240" w:lineRule="auto"/>
        <w:jc w:val="both"/>
        <w:rPr>
          <w:rFonts w:ascii="Arial" w:eastAsia="Times New Roman" w:hAnsi="Arial" w:cs="Arial"/>
          <w:color w:val="000000" w:themeColor="text1"/>
          <w:sz w:val="23"/>
          <w:szCs w:val="23"/>
          <w:lang w:eastAsia="en-IN"/>
        </w:rPr>
      </w:pPr>
      <w:r w:rsidRPr="00DB64CA">
        <w:rPr>
          <w:rFonts w:ascii="Arial" w:eastAsia="Times New Roman" w:hAnsi="Arial" w:cs="Arial"/>
          <w:color w:val="000000" w:themeColor="text1"/>
          <w:sz w:val="23"/>
          <w:szCs w:val="23"/>
          <w:lang w:eastAsia="en-IN"/>
        </w:rPr>
        <w:t>Both the Industrial and Transportation averages must confirm a trend.</w:t>
      </w:r>
    </w:p>
    <w:p w:rsidR="00DB64CA" w:rsidRPr="00DB64CA" w:rsidRDefault="00DB64CA" w:rsidP="00C46849">
      <w:pPr>
        <w:numPr>
          <w:ilvl w:val="0"/>
          <w:numId w:val="4"/>
        </w:numPr>
        <w:spacing w:before="100" w:beforeAutospacing="1" w:after="100" w:afterAutospacing="1" w:line="240" w:lineRule="auto"/>
        <w:jc w:val="both"/>
        <w:rPr>
          <w:rFonts w:ascii="Arial" w:eastAsia="Times New Roman" w:hAnsi="Arial" w:cs="Arial"/>
          <w:color w:val="000000" w:themeColor="text1"/>
          <w:sz w:val="23"/>
          <w:szCs w:val="23"/>
          <w:lang w:eastAsia="en-IN"/>
        </w:rPr>
      </w:pPr>
      <w:r w:rsidRPr="00DB64CA">
        <w:rPr>
          <w:rFonts w:ascii="Arial" w:eastAsia="Times New Roman" w:hAnsi="Arial" w:cs="Arial"/>
          <w:color w:val="000000" w:themeColor="text1"/>
          <w:sz w:val="23"/>
          <w:szCs w:val="23"/>
          <w:lang w:eastAsia="en-IN"/>
        </w:rPr>
        <w:t>The determination of a major trend has come to be known as a signal to Buy or Sell, although Dow never called them such.</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b/>
          <w:bCs/>
          <w:color w:val="000000" w:themeColor="text1"/>
          <w:sz w:val="27"/>
          <w:szCs w:val="27"/>
          <w:lang w:eastAsia="en-IN"/>
        </w:rPr>
        <w:t>     The classic Buy signal</w:t>
      </w:r>
      <w:r w:rsidRPr="00DB64CA">
        <w:rPr>
          <w:rFonts w:ascii="Times New Roman" w:eastAsia="Times New Roman" w:hAnsi="Times New Roman" w:cs="Times New Roman"/>
          <w:color w:val="000000" w:themeColor="text1"/>
          <w:sz w:val="27"/>
          <w:szCs w:val="27"/>
          <w:lang w:eastAsia="en-IN"/>
        </w:rPr>
        <w:t xml:space="preserve"> is developed as follows: After the low point of a primary downtrend in a Bear market is established, a secondary uptrend (this is the most often debated part of the Theory) bounce will occur. After that, a pullback on </w:t>
      </w:r>
      <w:r w:rsidRPr="00DB64CA">
        <w:rPr>
          <w:rFonts w:ascii="Times New Roman" w:eastAsia="Times New Roman" w:hAnsi="Times New Roman" w:cs="Times New Roman"/>
          <w:color w:val="000000" w:themeColor="text1"/>
          <w:sz w:val="27"/>
          <w:szCs w:val="27"/>
          <w:lang w:eastAsia="en-IN"/>
        </w:rPr>
        <w:lastRenderedPageBreak/>
        <w:t>one of the averages must exceed 3%, according to Robert Rhea in his 1930's </w:t>
      </w:r>
      <w:r w:rsidRPr="007539CE">
        <w:rPr>
          <w:rFonts w:ascii="Times New Roman" w:eastAsia="Times New Roman" w:hAnsi="Times New Roman" w:cs="Times New Roman"/>
          <w:i/>
          <w:iCs/>
          <w:color w:val="000000" w:themeColor="text1"/>
          <w:sz w:val="27"/>
          <w:szCs w:val="27"/>
          <w:lang w:eastAsia="en-IN"/>
        </w:rPr>
        <w:t>The Dow Theory</w:t>
      </w:r>
      <w:r w:rsidRPr="00DB64CA">
        <w:rPr>
          <w:rFonts w:ascii="Times New Roman" w:eastAsia="Times New Roman" w:hAnsi="Times New Roman" w:cs="Times New Roman"/>
          <w:color w:val="000000" w:themeColor="text1"/>
          <w:sz w:val="27"/>
          <w:szCs w:val="27"/>
          <w:lang w:eastAsia="en-IN"/>
        </w:rPr>
        <w:t>,</w:t>
      </w:r>
      <w:proofErr w:type="gramStart"/>
      <w:r w:rsidRPr="00DB64CA">
        <w:rPr>
          <w:rFonts w:ascii="Times New Roman" w:eastAsia="Times New Roman" w:hAnsi="Times New Roman" w:cs="Times New Roman"/>
          <w:color w:val="000000" w:themeColor="text1"/>
          <w:sz w:val="27"/>
          <w:szCs w:val="27"/>
          <w:lang w:eastAsia="en-IN"/>
        </w:rPr>
        <w:t>  must</w:t>
      </w:r>
      <w:proofErr w:type="gramEnd"/>
      <w:r w:rsidRPr="00DB64CA">
        <w:rPr>
          <w:rFonts w:ascii="Times New Roman" w:eastAsia="Times New Roman" w:hAnsi="Times New Roman" w:cs="Times New Roman"/>
          <w:color w:val="000000" w:themeColor="text1"/>
          <w:sz w:val="27"/>
          <w:szCs w:val="27"/>
          <w:lang w:eastAsia="en-IN"/>
        </w:rPr>
        <w:t xml:space="preserve"> then, ideally, hold above the prior lows on both the Industrial and the Transportation Averages. Finally, a breakout above the previous rally high by </w:t>
      </w:r>
      <w:proofErr w:type="gramStart"/>
      <w:r w:rsidRPr="00DB64CA">
        <w:rPr>
          <w:rFonts w:ascii="Times New Roman" w:eastAsia="Times New Roman" w:hAnsi="Times New Roman" w:cs="Times New Roman"/>
          <w:color w:val="000000" w:themeColor="text1"/>
          <w:sz w:val="27"/>
          <w:szCs w:val="27"/>
          <w:lang w:eastAsia="en-IN"/>
        </w:rPr>
        <w:t>both,</w:t>
      </w:r>
      <w:proofErr w:type="gramEnd"/>
      <w:r w:rsidRPr="00DB64CA">
        <w:rPr>
          <w:rFonts w:ascii="Times New Roman" w:eastAsia="Times New Roman" w:hAnsi="Times New Roman" w:cs="Times New Roman"/>
          <w:color w:val="000000" w:themeColor="text1"/>
          <w:sz w:val="27"/>
          <w:szCs w:val="27"/>
          <w:lang w:eastAsia="en-IN"/>
        </w:rPr>
        <w:t xml:space="preserve"> constitutes a BUY Signal for the developing Bull market.</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The chart represents how the Dow Jones Industrial Average and the Transportation Average might look under the most usual BUY signal (B-1):</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7539CE">
        <w:rPr>
          <w:rFonts w:ascii="Times New Roman" w:eastAsia="Times New Roman" w:hAnsi="Times New Roman" w:cs="Times New Roman"/>
          <w:noProof/>
          <w:color w:val="000000" w:themeColor="text1"/>
          <w:sz w:val="27"/>
          <w:szCs w:val="27"/>
          <w:lang w:eastAsia="en-IN"/>
        </w:rPr>
        <w:drawing>
          <wp:inline distT="0" distB="0" distL="0" distR="0">
            <wp:extent cx="4476115" cy="3232150"/>
            <wp:effectExtent l="19050" t="0" r="635" b="0"/>
            <wp:docPr id="1" name="Picture 1" descr="Figure 1. The Classic Buy Sig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1. The Classic Buy Signal"/>
                    <pic:cNvPicPr>
                      <a:picLocks noChangeAspect="1" noChangeArrowheads="1"/>
                    </pic:cNvPicPr>
                  </pic:nvPicPr>
                  <pic:blipFill>
                    <a:blip r:embed="rId18" cstate="print"/>
                    <a:srcRect/>
                    <a:stretch>
                      <a:fillRect/>
                    </a:stretch>
                  </pic:blipFill>
                  <pic:spPr bwMode="auto">
                    <a:xfrm>
                      <a:off x="0" y="0"/>
                      <a:ext cx="4476115" cy="3232150"/>
                    </a:xfrm>
                    <a:prstGeom prst="rect">
                      <a:avLst/>
                    </a:prstGeom>
                    <a:noFill/>
                    <a:ln w="9525">
                      <a:noFill/>
                      <a:miter lim="800000"/>
                      <a:headEnd/>
                      <a:tailEnd/>
                    </a:ln>
                  </pic:spPr>
                </pic:pic>
              </a:graphicData>
            </a:graphic>
          </wp:inline>
        </w:drawing>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More than one bounce can occur within the confines of the bounce highs and the lows. Any such non-confirmation by the other Average is inconsequential.</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     While neither the primary nor the secondary trends have been specifically defined, my own research shows that </w:t>
      </w:r>
      <w:r w:rsidRPr="00DB64CA">
        <w:rPr>
          <w:rFonts w:ascii="Times New Roman" w:eastAsia="Times New Roman" w:hAnsi="Times New Roman" w:cs="Times New Roman"/>
          <w:b/>
          <w:bCs/>
          <w:color w:val="000000" w:themeColor="text1"/>
          <w:sz w:val="27"/>
          <w:szCs w:val="27"/>
          <w:lang w:eastAsia="en-IN"/>
        </w:rPr>
        <w:t>a Bull market primary trend will have advanced in excess of 19% </w:t>
      </w:r>
      <w:r w:rsidRPr="00DB64CA">
        <w:rPr>
          <w:rFonts w:ascii="Times New Roman" w:eastAsia="Times New Roman" w:hAnsi="Times New Roman" w:cs="Times New Roman"/>
          <w:color w:val="000000" w:themeColor="text1"/>
          <w:sz w:val="27"/>
          <w:szCs w:val="27"/>
          <w:lang w:eastAsia="en-IN"/>
        </w:rPr>
        <w:t>on both the Dow Jones and Standard &amp; Poor’s 500 Indices. </w:t>
      </w:r>
      <w:r w:rsidRPr="00DB64CA">
        <w:rPr>
          <w:rFonts w:ascii="Times New Roman" w:eastAsia="Times New Roman" w:hAnsi="Times New Roman" w:cs="Times New Roman"/>
          <w:b/>
          <w:bCs/>
          <w:color w:val="000000" w:themeColor="text1"/>
          <w:sz w:val="27"/>
          <w:szCs w:val="27"/>
          <w:lang w:eastAsia="en-IN"/>
        </w:rPr>
        <w:t>A Bear market primary trend will have declined in excess of 16% on both</w:t>
      </w:r>
      <w:r w:rsidRPr="00DB64CA">
        <w:rPr>
          <w:rFonts w:ascii="Times New Roman" w:eastAsia="Times New Roman" w:hAnsi="Times New Roman" w:cs="Times New Roman"/>
          <w:color w:val="000000" w:themeColor="text1"/>
          <w:sz w:val="27"/>
          <w:szCs w:val="27"/>
          <w:lang w:eastAsia="en-IN"/>
        </w:rPr>
        <w:t>.</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     A review of the Dow Theory signals </w:t>
      </w:r>
      <w:r w:rsidRPr="007539CE">
        <w:rPr>
          <w:rFonts w:ascii="Times New Roman" w:eastAsia="Times New Roman" w:hAnsi="Times New Roman" w:cs="Times New Roman"/>
          <w:i/>
          <w:iCs/>
          <w:color w:val="000000" w:themeColor="text1"/>
          <w:sz w:val="27"/>
          <w:szCs w:val="27"/>
          <w:lang w:eastAsia="en-IN"/>
        </w:rPr>
        <w:t>implies</w:t>
      </w:r>
      <w:r w:rsidRPr="00DB64CA">
        <w:rPr>
          <w:rFonts w:ascii="Times New Roman" w:eastAsia="Times New Roman" w:hAnsi="Times New Roman" w:cs="Times New Roman"/>
          <w:color w:val="000000" w:themeColor="text1"/>
          <w:sz w:val="27"/>
          <w:szCs w:val="27"/>
          <w:lang w:eastAsia="en-IN"/>
        </w:rPr>
        <w:t> that a secondary trend will usually bounce at least 4% on both the Industrials and Transportation Indices, and usually one or both will exceed 7%. According to </w:t>
      </w:r>
      <w:r w:rsidRPr="00DB64CA">
        <w:rPr>
          <w:rFonts w:ascii="Times New Roman" w:eastAsia="Times New Roman" w:hAnsi="Times New Roman" w:cs="Times New Roman"/>
          <w:i/>
          <w:iCs/>
          <w:color w:val="000000" w:themeColor="text1"/>
          <w:sz w:val="27"/>
          <w:szCs w:val="27"/>
          <w:lang w:eastAsia="en-IN"/>
        </w:rPr>
        <w:t>The Dow Theory</w:t>
      </w:r>
      <w:r w:rsidRPr="00DB64CA">
        <w:rPr>
          <w:rFonts w:ascii="Times New Roman" w:eastAsia="Times New Roman" w:hAnsi="Times New Roman" w:cs="Times New Roman"/>
          <w:color w:val="000000" w:themeColor="text1"/>
          <w:sz w:val="27"/>
          <w:szCs w:val="27"/>
          <w:lang w:eastAsia="en-IN"/>
        </w:rPr>
        <w:t>, by Robert Rhea, secondary reactions "</w:t>
      </w:r>
      <w:r w:rsidRPr="007539CE">
        <w:rPr>
          <w:rFonts w:ascii="Times New Roman" w:eastAsia="Times New Roman" w:hAnsi="Times New Roman" w:cs="Times New Roman"/>
          <w:i/>
          <w:iCs/>
          <w:color w:val="000000" w:themeColor="text1"/>
          <w:sz w:val="27"/>
          <w:szCs w:val="27"/>
          <w:lang w:eastAsia="en-IN"/>
        </w:rPr>
        <w:t>usually</w:t>
      </w:r>
      <w:r w:rsidRPr="00DB64CA">
        <w:rPr>
          <w:rFonts w:ascii="Times New Roman" w:eastAsia="Times New Roman" w:hAnsi="Times New Roman" w:cs="Times New Roman"/>
          <w:color w:val="000000" w:themeColor="text1"/>
          <w:sz w:val="27"/>
          <w:szCs w:val="27"/>
          <w:lang w:eastAsia="en-IN"/>
        </w:rPr>
        <w:t> last from three </w:t>
      </w:r>
      <w:r w:rsidRPr="007539CE">
        <w:rPr>
          <w:rFonts w:ascii="Times New Roman" w:eastAsia="Times New Roman" w:hAnsi="Times New Roman" w:cs="Times New Roman"/>
          <w:i/>
          <w:iCs/>
          <w:color w:val="000000" w:themeColor="text1"/>
          <w:sz w:val="27"/>
          <w:szCs w:val="27"/>
          <w:lang w:eastAsia="en-IN"/>
        </w:rPr>
        <w:t>weeks</w:t>
      </w:r>
      <w:r w:rsidRPr="00DB64CA">
        <w:rPr>
          <w:rFonts w:ascii="Times New Roman" w:eastAsia="Times New Roman" w:hAnsi="Times New Roman" w:cs="Times New Roman"/>
          <w:color w:val="000000" w:themeColor="text1"/>
          <w:sz w:val="27"/>
          <w:szCs w:val="27"/>
          <w:lang w:eastAsia="en-IN"/>
        </w:rPr>
        <w:t> to as many </w:t>
      </w:r>
      <w:r w:rsidRPr="007539CE">
        <w:rPr>
          <w:rFonts w:ascii="Times New Roman" w:eastAsia="Times New Roman" w:hAnsi="Times New Roman" w:cs="Times New Roman"/>
          <w:i/>
          <w:iCs/>
          <w:color w:val="000000" w:themeColor="text1"/>
          <w:sz w:val="27"/>
          <w:szCs w:val="27"/>
          <w:lang w:eastAsia="en-IN"/>
        </w:rPr>
        <w:t>months</w:t>
      </w:r>
      <w:r w:rsidRPr="00DB64CA">
        <w:rPr>
          <w:rFonts w:ascii="Times New Roman" w:eastAsia="Times New Roman" w:hAnsi="Times New Roman" w:cs="Times New Roman"/>
          <w:color w:val="000000" w:themeColor="text1"/>
          <w:sz w:val="27"/>
          <w:szCs w:val="27"/>
          <w:lang w:eastAsia="en-IN"/>
        </w:rPr>
        <w:t>, during which...the price movement </w:t>
      </w:r>
      <w:r w:rsidRPr="007539CE">
        <w:rPr>
          <w:rFonts w:ascii="Times New Roman" w:eastAsia="Times New Roman" w:hAnsi="Times New Roman" w:cs="Times New Roman"/>
          <w:i/>
          <w:iCs/>
          <w:color w:val="000000" w:themeColor="text1"/>
          <w:sz w:val="27"/>
          <w:szCs w:val="27"/>
          <w:lang w:eastAsia="en-IN"/>
        </w:rPr>
        <w:t>generally</w:t>
      </w:r>
      <w:r w:rsidRPr="00DB64CA">
        <w:rPr>
          <w:rFonts w:ascii="Times New Roman" w:eastAsia="Times New Roman" w:hAnsi="Times New Roman" w:cs="Times New Roman"/>
          <w:color w:val="000000" w:themeColor="text1"/>
          <w:sz w:val="27"/>
          <w:szCs w:val="27"/>
          <w:lang w:eastAsia="en-IN"/>
        </w:rPr>
        <w:t> retraces from 33 per cent to 66 per cent of the primary price change</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t>  In the same book, Dow's successor, William Peter Hamilton, described "secondary reactions</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t>as) lasting from a few </w:t>
      </w:r>
      <w:r w:rsidRPr="007539CE">
        <w:rPr>
          <w:rFonts w:ascii="Times New Roman" w:eastAsia="Times New Roman" w:hAnsi="Times New Roman" w:cs="Times New Roman"/>
          <w:i/>
          <w:iCs/>
          <w:color w:val="000000" w:themeColor="text1"/>
          <w:sz w:val="27"/>
          <w:szCs w:val="27"/>
          <w:lang w:eastAsia="en-IN"/>
        </w:rPr>
        <w:t>days</w:t>
      </w:r>
      <w:r w:rsidRPr="00DB64CA">
        <w:rPr>
          <w:rFonts w:ascii="Times New Roman" w:eastAsia="Times New Roman" w:hAnsi="Times New Roman" w:cs="Times New Roman"/>
          <w:color w:val="000000" w:themeColor="text1"/>
          <w:sz w:val="27"/>
          <w:szCs w:val="27"/>
          <w:lang w:eastAsia="en-IN"/>
        </w:rPr>
        <w:t> to many </w:t>
      </w:r>
      <w:r w:rsidRPr="007539CE">
        <w:rPr>
          <w:rFonts w:ascii="Times New Roman" w:eastAsia="Times New Roman" w:hAnsi="Times New Roman" w:cs="Times New Roman"/>
          <w:i/>
          <w:iCs/>
          <w:color w:val="000000" w:themeColor="text1"/>
          <w:sz w:val="27"/>
          <w:szCs w:val="27"/>
          <w:lang w:eastAsia="en-IN"/>
        </w:rPr>
        <w:t>weeks</w:t>
      </w:r>
      <w:r w:rsidRPr="00DB64CA">
        <w:rPr>
          <w:rFonts w:ascii="Times New Roman" w:eastAsia="Times New Roman" w:hAnsi="Times New Roman" w:cs="Times New Roman"/>
          <w:color w:val="000000" w:themeColor="text1"/>
          <w:sz w:val="27"/>
          <w:szCs w:val="27"/>
          <w:lang w:eastAsia="en-IN"/>
        </w:rPr>
        <w:t>".</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b/>
          <w:bCs/>
          <w:color w:val="000000" w:themeColor="text1"/>
          <w:sz w:val="27"/>
          <w:szCs w:val="27"/>
          <w:lang w:eastAsia="en-IN"/>
        </w:rPr>
        <w:lastRenderedPageBreak/>
        <w:t>     What is precisely defined is</w:t>
      </w:r>
      <w:r w:rsidRPr="00DB64CA">
        <w:rPr>
          <w:rFonts w:ascii="Times New Roman" w:eastAsia="Times New Roman" w:hAnsi="Times New Roman" w:cs="Times New Roman"/>
          <w:color w:val="000000" w:themeColor="text1"/>
          <w:sz w:val="27"/>
          <w:szCs w:val="27"/>
          <w:lang w:eastAsia="en-IN"/>
        </w:rPr>
        <w:t> the extent of the "return move", the pullback after a bounce up from a Bear market bottom, or the bounce after a pullback from a Bull market top, and that shall exceed 3% on either of the averages.</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     </w:t>
      </w:r>
      <w:r w:rsidRPr="00DB64CA">
        <w:rPr>
          <w:rFonts w:ascii="Times New Roman" w:eastAsia="Times New Roman" w:hAnsi="Times New Roman" w:cs="Times New Roman"/>
          <w:b/>
          <w:bCs/>
          <w:color w:val="000000" w:themeColor="text1"/>
          <w:sz w:val="27"/>
          <w:szCs w:val="27"/>
          <w:lang w:eastAsia="en-IN"/>
        </w:rPr>
        <w:t>A Bear market Sell signal</w:t>
      </w:r>
      <w:r w:rsidRPr="00DB64CA">
        <w:rPr>
          <w:rFonts w:ascii="Times New Roman" w:eastAsia="Times New Roman" w:hAnsi="Times New Roman" w:cs="Times New Roman"/>
          <w:color w:val="000000" w:themeColor="text1"/>
          <w:sz w:val="27"/>
          <w:szCs w:val="27"/>
          <w:lang w:eastAsia="en-IN"/>
        </w:rPr>
        <w:t xml:space="preserve"> is determined in much the same way, but opposite to a Buy Signal. When a Bull market tops and sets back, and the subsequent rally that goes back up (again, over 3%) and falls short of reaching the previous high and then penetrates the recent lows on the next decline as measured by both the Industrial and Transportation Averages, a SELL Signal is generated indicating a Bear market. This is the </w:t>
      </w:r>
      <w:proofErr w:type="spellStart"/>
      <w:r w:rsidRPr="00DB64CA">
        <w:rPr>
          <w:rFonts w:ascii="Times New Roman" w:eastAsia="Times New Roman" w:hAnsi="Times New Roman" w:cs="Times New Roman"/>
          <w:color w:val="000000" w:themeColor="text1"/>
          <w:sz w:val="27"/>
          <w:szCs w:val="27"/>
          <w:lang w:eastAsia="en-IN"/>
        </w:rPr>
        <w:t>must</w:t>
      </w:r>
      <w:proofErr w:type="spellEnd"/>
      <w:r w:rsidRPr="00DB64CA">
        <w:rPr>
          <w:rFonts w:ascii="Times New Roman" w:eastAsia="Times New Roman" w:hAnsi="Times New Roman" w:cs="Times New Roman"/>
          <w:color w:val="000000" w:themeColor="text1"/>
          <w:sz w:val="27"/>
          <w:szCs w:val="27"/>
          <w:lang w:eastAsia="en-IN"/>
        </w:rPr>
        <w:t xml:space="preserve"> usual SELL signal (S-1):</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7539CE">
        <w:rPr>
          <w:rFonts w:ascii="Times New Roman" w:eastAsia="Times New Roman" w:hAnsi="Times New Roman" w:cs="Times New Roman"/>
          <w:noProof/>
          <w:color w:val="000000" w:themeColor="text1"/>
          <w:sz w:val="27"/>
          <w:szCs w:val="27"/>
          <w:lang w:eastAsia="en-IN"/>
        </w:rPr>
        <w:drawing>
          <wp:inline distT="0" distB="0" distL="0" distR="0">
            <wp:extent cx="4476115" cy="2902585"/>
            <wp:effectExtent l="19050" t="0" r="635" b="0"/>
            <wp:docPr id="2" name="Picture 2" descr="Figure 2. The Classic Sell Sig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 2. The Classic Sell Signal"/>
                    <pic:cNvPicPr>
                      <a:picLocks noChangeAspect="1" noChangeArrowheads="1"/>
                    </pic:cNvPicPr>
                  </pic:nvPicPr>
                  <pic:blipFill>
                    <a:blip r:embed="rId19" cstate="print"/>
                    <a:srcRect/>
                    <a:stretch>
                      <a:fillRect/>
                    </a:stretch>
                  </pic:blipFill>
                  <pic:spPr bwMode="auto">
                    <a:xfrm>
                      <a:off x="0" y="0"/>
                      <a:ext cx="4476115" cy="2902585"/>
                    </a:xfrm>
                    <a:prstGeom prst="rect">
                      <a:avLst/>
                    </a:prstGeom>
                    <a:noFill/>
                    <a:ln w="9525">
                      <a:noFill/>
                      <a:miter lim="800000"/>
                      <a:headEnd/>
                      <a:tailEnd/>
                    </a:ln>
                  </pic:spPr>
                </pic:pic>
              </a:graphicData>
            </a:graphic>
          </wp:inline>
        </w:drawing>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Other acceptable patterns are as follows</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r>
      <w:r w:rsidRPr="007539CE">
        <w:rPr>
          <w:rFonts w:ascii="Times New Roman" w:eastAsia="Times New Roman" w:hAnsi="Times New Roman" w:cs="Times New Roman"/>
          <w:noProof/>
          <w:color w:val="000000" w:themeColor="text1"/>
          <w:sz w:val="27"/>
          <w:szCs w:val="27"/>
          <w:lang w:eastAsia="en-IN"/>
        </w:rPr>
        <w:drawing>
          <wp:inline distT="0" distB="0" distL="0" distR="0">
            <wp:extent cx="4476115" cy="2828290"/>
            <wp:effectExtent l="19050" t="0" r="635" b="0"/>
            <wp:docPr id="3" name="Picture 3" descr="https://www.thedowtheory.com/NEW/images/theory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thedowtheory.com/NEW/images/theory3.gif"/>
                    <pic:cNvPicPr>
                      <a:picLocks noChangeAspect="1" noChangeArrowheads="1"/>
                    </pic:cNvPicPr>
                  </pic:nvPicPr>
                  <pic:blipFill>
                    <a:blip r:embed="rId20" cstate="print"/>
                    <a:srcRect/>
                    <a:stretch>
                      <a:fillRect/>
                    </a:stretch>
                  </pic:blipFill>
                  <pic:spPr bwMode="auto">
                    <a:xfrm>
                      <a:off x="0" y="0"/>
                      <a:ext cx="4476115" cy="2828290"/>
                    </a:xfrm>
                    <a:prstGeom prst="rect">
                      <a:avLst/>
                    </a:prstGeom>
                    <a:noFill/>
                    <a:ln w="9525">
                      <a:noFill/>
                      <a:miter lim="800000"/>
                      <a:headEnd/>
                      <a:tailEnd/>
                    </a:ln>
                  </pic:spPr>
                </pic:pic>
              </a:graphicData>
            </a:graphic>
          </wp:inline>
        </w:drawing>
      </w:r>
      <w:r w:rsidRPr="00DB64CA">
        <w:rPr>
          <w:rFonts w:ascii="Times New Roman" w:eastAsia="Times New Roman" w:hAnsi="Times New Roman" w:cs="Times New Roman"/>
          <w:color w:val="000000" w:themeColor="text1"/>
          <w:sz w:val="27"/>
          <w:szCs w:val="27"/>
          <w:lang w:eastAsia="en-IN"/>
        </w:rPr>
        <w:br/>
        <w:t>BUY (B-2) shown above</w:t>
      </w:r>
      <w:r w:rsidRPr="00DB64CA">
        <w:rPr>
          <w:rFonts w:ascii="Times New Roman" w:eastAsia="Times New Roman" w:hAnsi="Times New Roman" w:cs="Times New Roman"/>
          <w:color w:val="000000" w:themeColor="text1"/>
          <w:sz w:val="27"/>
          <w:szCs w:val="27"/>
          <w:lang w:eastAsia="en-IN"/>
        </w:rPr>
        <w:br/>
        <w:t xml:space="preserve">1.  </w:t>
      </w:r>
      <w:proofErr w:type="gramStart"/>
      <w:r w:rsidRPr="00DB64CA">
        <w:rPr>
          <w:rFonts w:ascii="Times New Roman" w:eastAsia="Times New Roman" w:hAnsi="Times New Roman" w:cs="Times New Roman"/>
          <w:color w:val="000000" w:themeColor="text1"/>
          <w:sz w:val="27"/>
          <w:szCs w:val="27"/>
          <w:lang w:eastAsia="en-IN"/>
        </w:rPr>
        <w:t>Market Lows</w:t>
      </w:r>
      <w:r w:rsidRPr="00DB64CA">
        <w:rPr>
          <w:rFonts w:ascii="Times New Roman" w:eastAsia="Times New Roman" w:hAnsi="Times New Roman" w:cs="Times New Roman"/>
          <w:color w:val="000000" w:themeColor="text1"/>
          <w:sz w:val="27"/>
          <w:szCs w:val="27"/>
          <w:lang w:eastAsia="en-IN"/>
        </w:rPr>
        <w:br/>
        <w:t>2.</w:t>
      </w:r>
      <w:proofErr w:type="gramEnd"/>
      <w:r w:rsidRPr="00DB64CA">
        <w:rPr>
          <w:rFonts w:ascii="Times New Roman" w:eastAsia="Times New Roman" w:hAnsi="Times New Roman" w:cs="Times New Roman"/>
          <w:color w:val="000000" w:themeColor="text1"/>
          <w:sz w:val="27"/>
          <w:szCs w:val="27"/>
          <w:lang w:eastAsia="en-IN"/>
        </w:rPr>
        <w:t>  Bounce</w:t>
      </w:r>
      <w:r w:rsidRPr="00DB64CA">
        <w:rPr>
          <w:rFonts w:ascii="Times New Roman" w:eastAsia="Times New Roman" w:hAnsi="Times New Roman" w:cs="Times New Roman"/>
          <w:color w:val="000000" w:themeColor="text1"/>
          <w:sz w:val="27"/>
          <w:szCs w:val="27"/>
          <w:lang w:eastAsia="en-IN"/>
        </w:rPr>
        <w:br/>
      </w:r>
      <w:r w:rsidRPr="00DB64CA">
        <w:rPr>
          <w:rFonts w:ascii="Times New Roman" w:eastAsia="Times New Roman" w:hAnsi="Times New Roman" w:cs="Times New Roman"/>
          <w:color w:val="000000" w:themeColor="text1"/>
          <w:sz w:val="27"/>
          <w:szCs w:val="27"/>
          <w:lang w:eastAsia="en-IN"/>
        </w:rPr>
        <w:lastRenderedPageBreak/>
        <w:t>3.  Pullback (one index makes a new low</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4.  Break up</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SELL (S-2) shown below</w:t>
      </w:r>
      <w:r w:rsidRPr="00DB64CA">
        <w:rPr>
          <w:rFonts w:ascii="Times New Roman" w:eastAsia="Times New Roman" w:hAnsi="Times New Roman" w:cs="Times New Roman"/>
          <w:color w:val="000000" w:themeColor="text1"/>
          <w:sz w:val="27"/>
          <w:szCs w:val="27"/>
          <w:lang w:eastAsia="en-IN"/>
        </w:rPr>
        <w:br/>
        <w:t xml:space="preserve">1.  </w:t>
      </w:r>
      <w:proofErr w:type="gramStart"/>
      <w:r w:rsidRPr="00DB64CA">
        <w:rPr>
          <w:rFonts w:ascii="Times New Roman" w:eastAsia="Times New Roman" w:hAnsi="Times New Roman" w:cs="Times New Roman"/>
          <w:color w:val="000000" w:themeColor="text1"/>
          <w:sz w:val="27"/>
          <w:szCs w:val="27"/>
          <w:lang w:eastAsia="en-IN"/>
        </w:rPr>
        <w:t>Market Highs</w:t>
      </w:r>
      <w:r w:rsidRPr="00DB64CA">
        <w:rPr>
          <w:rFonts w:ascii="Times New Roman" w:eastAsia="Times New Roman" w:hAnsi="Times New Roman" w:cs="Times New Roman"/>
          <w:color w:val="000000" w:themeColor="text1"/>
          <w:sz w:val="27"/>
          <w:szCs w:val="27"/>
          <w:lang w:eastAsia="en-IN"/>
        </w:rPr>
        <w:br/>
        <w:t>2.</w:t>
      </w:r>
      <w:proofErr w:type="gramEnd"/>
      <w:r w:rsidRPr="00DB64CA">
        <w:rPr>
          <w:rFonts w:ascii="Times New Roman" w:eastAsia="Times New Roman" w:hAnsi="Times New Roman" w:cs="Times New Roman"/>
          <w:color w:val="000000" w:themeColor="text1"/>
          <w:sz w:val="27"/>
          <w:szCs w:val="27"/>
          <w:lang w:eastAsia="en-IN"/>
        </w:rPr>
        <w:t xml:space="preserve">  </w:t>
      </w:r>
      <w:proofErr w:type="gramStart"/>
      <w:r w:rsidRPr="00DB64CA">
        <w:rPr>
          <w:rFonts w:ascii="Times New Roman" w:eastAsia="Times New Roman" w:hAnsi="Times New Roman" w:cs="Times New Roman"/>
          <w:color w:val="000000" w:themeColor="text1"/>
          <w:sz w:val="27"/>
          <w:szCs w:val="27"/>
          <w:lang w:eastAsia="en-IN"/>
        </w:rPr>
        <w:t>Pullback</w:t>
      </w:r>
      <w:r w:rsidRPr="00DB64CA">
        <w:rPr>
          <w:rFonts w:ascii="Times New Roman" w:eastAsia="Times New Roman" w:hAnsi="Times New Roman" w:cs="Times New Roman"/>
          <w:color w:val="000000" w:themeColor="text1"/>
          <w:sz w:val="27"/>
          <w:szCs w:val="27"/>
          <w:lang w:eastAsia="en-IN"/>
        </w:rPr>
        <w:br/>
        <w:t>3.</w:t>
      </w:r>
      <w:proofErr w:type="gramEnd"/>
      <w:r w:rsidRPr="00DB64CA">
        <w:rPr>
          <w:rFonts w:ascii="Times New Roman" w:eastAsia="Times New Roman" w:hAnsi="Times New Roman" w:cs="Times New Roman"/>
          <w:color w:val="000000" w:themeColor="text1"/>
          <w:sz w:val="27"/>
          <w:szCs w:val="27"/>
          <w:lang w:eastAsia="en-IN"/>
        </w:rPr>
        <w:t>  Bounce (one makes a new high</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4.  Break down</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7539CE">
        <w:rPr>
          <w:rFonts w:ascii="Times New Roman" w:eastAsia="Times New Roman" w:hAnsi="Times New Roman" w:cs="Times New Roman"/>
          <w:noProof/>
          <w:color w:val="000000" w:themeColor="text1"/>
          <w:sz w:val="27"/>
          <w:szCs w:val="27"/>
          <w:lang w:eastAsia="en-IN"/>
        </w:rPr>
        <w:drawing>
          <wp:inline distT="0" distB="0" distL="0" distR="0">
            <wp:extent cx="4731385" cy="2211705"/>
            <wp:effectExtent l="19050" t="0" r="0" b="0"/>
            <wp:docPr id="4" name="Picture 4" descr="https://www.thedowtheory.com/NEW/images/theory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thedowtheory.com/NEW/images/theory4.gif"/>
                    <pic:cNvPicPr>
                      <a:picLocks noChangeAspect="1" noChangeArrowheads="1"/>
                    </pic:cNvPicPr>
                  </pic:nvPicPr>
                  <pic:blipFill>
                    <a:blip r:embed="rId21" cstate="print"/>
                    <a:srcRect/>
                    <a:stretch>
                      <a:fillRect/>
                    </a:stretch>
                  </pic:blipFill>
                  <pic:spPr bwMode="auto">
                    <a:xfrm>
                      <a:off x="0" y="0"/>
                      <a:ext cx="4731385" cy="2211705"/>
                    </a:xfrm>
                    <a:prstGeom prst="rect">
                      <a:avLst/>
                    </a:prstGeom>
                    <a:noFill/>
                    <a:ln w="9525">
                      <a:noFill/>
                      <a:miter lim="800000"/>
                      <a:headEnd/>
                      <a:tailEnd/>
                    </a:ln>
                  </pic:spPr>
                </pic:pic>
              </a:graphicData>
            </a:graphic>
          </wp:inline>
        </w:drawing>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BUY (B-3) shown below</w:t>
      </w:r>
      <w:r w:rsidRPr="00DB64CA">
        <w:rPr>
          <w:rFonts w:ascii="Times New Roman" w:eastAsia="Times New Roman" w:hAnsi="Times New Roman" w:cs="Times New Roman"/>
          <w:color w:val="000000" w:themeColor="text1"/>
          <w:sz w:val="27"/>
          <w:szCs w:val="27"/>
          <w:lang w:eastAsia="en-IN"/>
        </w:rPr>
        <w:br/>
        <w:t xml:space="preserve">1.  </w:t>
      </w:r>
      <w:proofErr w:type="gramStart"/>
      <w:r w:rsidRPr="00DB64CA">
        <w:rPr>
          <w:rFonts w:ascii="Times New Roman" w:eastAsia="Times New Roman" w:hAnsi="Times New Roman" w:cs="Times New Roman"/>
          <w:color w:val="000000" w:themeColor="text1"/>
          <w:sz w:val="27"/>
          <w:szCs w:val="27"/>
          <w:lang w:eastAsia="en-IN"/>
        </w:rPr>
        <w:t>Market Lows</w:t>
      </w:r>
      <w:r w:rsidRPr="00DB64CA">
        <w:rPr>
          <w:rFonts w:ascii="Times New Roman" w:eastAsia="Times New Roman" w:hAnsi="Times New Roman" w:cs="Times New Roman"/>
          <w:color w:val="000000" w:themeColor="text1"/>
          <w:sz w:val="27"/>
          <w:szCs w:val="27"/>
          <w:lang w:eastAsia="en-IN"/>
        </w:rPr>
        <w:br/>
        <w:t>2.</w:t>
      </w:r>
      <w:proofErr w:type="gramEnd"/>
      <w:r w:rsidRPr="00DB64CA">
        <w:rPr>
          <w:rFonts w:ascii="Times New Roman" w:eastAsia="Times New Roman" w:hAnsi="Times New Roman" w:cs="Times New Roman"/>
          <w:color w:val="000000" w:themeColor="text1"/>
          <w:sz w:val="27"/>
          <w:szCs w:val="27"/>
          <w:lang w:eastAsia="en-IN"/>
        </w:rPr>
        <w:t>  Bounce</w:t>
      </w:r>
      <w:r w:rsidRPr="00DB64CA">
        <w:rPr>
          <w:rFonts w:ascii="Times New Roman" w:eastAsia="Times New Roman" w:hAnsi="Times New Roman" w:cs="Times New Roman"/>
          <w:color w:val="000000" w:themeColor="text1"/>
          <w:sz w:val="27"/>
          <w:szCs w:val="27"/>
          <w:lang w:eastAsia="en-IN"/>
        </w:rPr>
        <w:br/>
        <w:t xml:space="preserve">3.  </w:t>
      </w:r>
      <w:proofErr w:type="gramStart"/>
      <w:r w:rsidRPr="00DB64CA">
        <w:rPr>
          <w:rFonts w:ascii="Times New Roman" w:eastAsia="Times New Roman" w:hAnsi="Times New Roman" w:cs="Times New Roman"/>
          <w:color w:val="000000" w:themeColor="text1"/>
          <w:sz w:val="27"/>
          <w:szCs w:val="27"/>
          <w:lang w:eastAsia="en-IN"/>
        </w:rPr>
        <w:t>Pullback</w:t>
      </w:r>
      <w:r w:rsidRPr="00DB64CA">
        <w:rPr>
          <w:rFonts w:ascii="Times New Roman" w:eastAsia="Times New Roman" w:hAnsi="Times New Roman" w:cs="Times New Roman"/>
          <w:color w:val="000000" w:themeColor="text1"/>
          <w:sz w:val="27"/>
          <w:szCs w:val="27"/>
          <w:lang w:eastAsia="en-IN"/>
        </w:rPr>
        <w:br/>
        <w:t>4.</w:t>
      </w:r>
      <w:proofErr w:type="gramEnd"/>
      <w:r w:rsidRPr="00DB64CA">
        <w:rPr>
          <w:rFonts w:ascii="Times New Roman" w:eastAsia="Times New Roman" w:hAnsi="Times New Roman" w:cs="Times New Roman"/>
          <w:color w:val="000000" w:themeColor="text1"/>
          <w:sz w:val="27"/>
          <w:szCs w:val="27"/>
          <w:lang w:eastAsia="en-IN"/>
        </w:rPr>
        <w:t>  Break up (one only</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5.  Pullback (other makes lower low</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6.  Break up (over both bounce highs)</w:t>
      </w:r>
      <w:r w:rsidRPr="00DB64CA">
        <w:rPr>
          <w:rFonts w:ascii="Times New Roman" w:eastAsia="Times New Roman" w:hAnsi="Times New Roman" w:cs="Times New Roman"/>
          <w:color w:val="000000" w:themeColor="text1"/>
          <w:sz w:val="27"/>
          <w:szCs w:val="27"/>
          <w:lang w:eastAsia="en-IN"/>
        </w:rPr>
        <w:br/>
      </w:r>
      <w:r w:rsidRPr="007539CE">
        <w:rPr>
          <w:rFonts w:ascii="Times New Roman" w:eastAsia="Times New Roman" w:hAnsi="Times New Roman" w:cs="Times New Roman"/>
          <w:noProof/>
          <w:color w:val="000000" w:themeColor="text1"/>
          <w:sz w:val="27"/>
          <w:szCs w:val="27"/>
          <w:lang w:eastAsia="en-IN"/>
        </w:rPr>
        <w:drawing>
          <wp:inline distT="0" distB="0" distL="0" distR="0">
            <wp:extent cx="4497705" cy="2722245"/>
            <wp:effectExtent l="19050" t="0" r="0" b="0"/>
            <wp:docPr id="5" name="Picture 5" descr="https://www.thedowtheory.com/NEW/images/theory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thedowtheory.com/NEW/images/theory5.gif"/>
                    <pic:cNvPicPr>
                      <a:picLocks noChangeAspect="1" noChangeArrowheads="1"/>
                    </pic:cNvPicPr>
                  </pic:nvPicPr>
                  <pic:blipFill>
                    <a:blip r:embed="rId22" cstate="print"/>
                    <a:srcRect/>
                    <a:stretch>
                      <a:fillRect/>
                    </a:stretch>
                  </pic:blipFill>
                  <pic:spPr bwMode="auto">
                    <a:xfrm>
                      <a:off x="0" y="0"/>
                      <a:ext cx="4497705" cy="2722245"/>
                    </a:xfrm>
                    <a:prstGeom prst="rect">
                      <a:avLst/>
                    </a:prstGeom>
                    <a:noFill/>
                    <a:ln w="9525">
                      <a:noFill/>
                      <a:miter lim="800000"/>
                      <a:headEnd/>
                      <a:tailEnd/>
                    </a:ln>
                  </pic:spPr>
                </pic:pic>
              </a:graphicData>
            </a:graphic>
          </wp:inline>
        </w:drawing>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SELL (S-3) shown below</w:t>
      </w:r>
      <w:r w:rsidRPr="00DB64CA">
        <w:rPr>
          <w:rFonts w:ascii="Times New Roman" w:eastAsia="Times New Roman" w:hAnsi="Times New Roman" w:cs="Times New Roman"/>
          <w:color w:val="000000" w:themeColor="text1"/>
          <w:sz w:val="27"/>
          <w:szCs w:val="27"/>
          <w:lang w:eastAsia="en-IN"/>
        </w:rPr>
        <w:br/>
        <w:t xml:space="preserve">1.  </w:t>
      </w:r>
      <w:proofErr w:type="gramStart"/>
      <w:r w:rsidRPr="00DB64CA">
        <w:rPr>
          <w:rFonts w:ascii="Times New Roman" w:eastAsia="Times New Roman" w:hAnsi="Times New Roman" w:cs="Times New Roman"/>
          <w:color w:val="000000" w:themeColor="text1"/>
          <w:sz w:val="27"/>
          <w:szCs w:val="27"/>
          <w:lang w:eastAsia="en-IN"/>
        </w:rPr>
        <w:t>Market Highs</w:t>
      </w:r>
      <w:r w:rsidRPr="00DB64CA">
        <w:rPr>
          <w:rFonts w:ascii="Times New Roman" w:eastAsia="Times New Roman" w:hAnsi="Times New Roman" w:cs="Times New Roman"/>
          <w:color w:val="000000" w:themeColor="text1"/>
          <w:sz w:val="27"/>
          <w:szCs w:val="27"/>
          <w:lang w:eastAsia="en-IN"/>
        </w:rPr>
        <w:br/>
      </w:r>
      <w:r w:rsidRPr="00DB64CA">
        <w:rPr>
          <w:rFonts w:ascii="Times New Roman" w:eastAsia="Times New Roman" w:hAnsi="Times New Roman" w:cs="Times New Roman"/>
          <w:color w:val="000000" w:themeColor="text1"/>
          <w:sz w:val="27"/>
          <w:szCs w:val="27"/>
          <w:lang w:eastAsia="en-IN"/>
        </w:rPr>
        <w:lastRenderedPageBreak/>
        <w:t>2.</w:t>
      </w:r>
      <w:proofErr w:type="gramEnd"/>
      <w:r w:rsidRPr="00DB64CA">
        <w:rPr>
          <w:rFonts w:ascii="Times New Roman" w:eastAsia="Times New Roman" w:hAnsi="Times New Roman" w:cs="Times New Roman"/>
          <w:color w:val="000000" w:themeColor="text1"/>
          <w:sz w:val="27"/>
          <w:szCs w:val="27"/>
          <w:lang w:eastAsia="en-IN"/>
        </w:rPr>
        <w:t xml:space="preserve">  </w:t>
      </w:r>
      <w:proofErr w:type="gramStart"/>
      <w:r w:rsidRPr="00DB64CA">
        <w:rPr>
          <w:rFonts w:ascii="Times New Roman" w:eastAsia="Times New Roman" w:hAnsi="Times New Roman" w:cs="Times New Roman"/>
          <w:color w:val="000000" w:themeColor="text1"/>
          <w:sz w:val="27"/>
          <w:szCs w:val="27"/>
          <w:lang w:eastAsia="en-IN"/>
        </w:rPr>
        <w:t>Pullback</w:t>
      </w:r>
      <w:r w:rsidRPr="00DB64CA">
        <w:rPr>
          <w:rFonts w:ascii="Times New Roman" w:eastAsia="Times New Roman" w:hAnsi="Times New Roman" w:cs="Times New Roman"/>
          <w:color w:val="000000" w:themeColor="text1"/>
          <w:sz w:val="27"/>
          <w:szCs w:val="27"/>
          <w:lang w:eastAsia="en-IN"/>
        </w:rPr>
        <w:br/>
        <w:t>3.</w:t>
      </w:r>
      <w:proofErr w:type="gramEnd"/>
      <w:r w:rsidRPr="00DB64CA">
        <w:rPr>
          <w:rFonts w:ascii="Times New Roman" w:eastAsia="Times New Roman" w:hAnsi="Times New Roman" w:cs="Times New Roman"/>
          <w:color w:val="000000" w:themeColor="text1"/>
          <w:sz w:val="27"/>
          <w:szCs w:val="27"/>
          <w:lang w:eastAsia="en-IN"/>
        </w:rPr>
        <w:t>  Bounce (one makes a new high</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4.  Pullback (other makes a new low</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5.  Bounce (first makes a newer high</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 xml:space="preserve">6.  Break down (below both </w:t>
      </w:r>
      <w:proofErr w:type="gramStart"/>
      <w:r w:rsidRPr="00DB64CA">
        <w:rPr>
          <w:rFonts w:ascii="Times New Roman" w:eastAsia="Times New Roman" w:hAnsi="Times New Roman" w:cs="Times New Roman"/>
          <w:color w:val="000000" w:themeColor="text1"/>
          <w:sz w:val="27"/>
          <w:szCs w:val="27"/>
          <w:lang w:eastAsia="en-IN"/>
        </w:rPr>
        <w:t>pullback</w:t>
      </w:r>
      <w:proofErr w:type="gramEnd"/>
      <w:r w:rsidRPr="00DB64CA">
        <w:rPr>
          <w:rFonts w:ascii="Times New Roman" w:eastAsia="Times New Roman" w:hAnsi="Times New Roman" w:cs="Times New Roman"/>
          <w:color w:val="000000" w:themeColor="text1"/>
          <w:sz w:val="27"/>
          <w:szCs w:val="27"/>
          <w:lang w:eastAsia="en-IN"/>
        </w:rPr>
        <w:t>)</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7539CE">
        <w:rPr>
          <w:rFonts w:ascii="Times New Roman" w:eastAsia="Times New Roman" w:hAnsi="Times New Roman" w:cs="Times New Roman"/>
          <w:noProof/>
          <w:color w:val="000000" w:themeColor="text1"/>
          <w:sz w:val="27"/>
          <w:szCs w:val="27"/>
          <w:lang w:eastAsia="en-IN"/>
        </w:rPr>
        <w:drawing>
          <wp:inline distT="0" distB="0" distL="0" distR="0">
            <wp:extent cx="4731385" cy="2424430"/>
            <wp:effectExtent l="19050" t="0" r="0" b="0"/>
            <wp:docPr id="6" name="Picture 6" descr="https://www.thedowtheory.com/NEW/images/theory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thedowtheory.com/NEW/images/theory6.gif"/>
                    <pic:cNvPicPr>
                      <a:picLocks noChangeAspect="1" noChangeArrowheads="1"/>
                    </pic:cNvPicPr>
                  </pic:nvPicPr>
                  <pic:blipFill>
                    <a:blip r:embed="rId23" cstate="print"/>
                    <a:srcRect/>
                    <a:stretch>
                      <a:fillRect/>
                    </a:stretch>
                  </pic:blipFill>
                  <pic:spPr bwMode="auto">
                    <a:xfrm>
                      <a:off x="0" y="0"/>
                      <a:ext cx="4731385" cy="2424430"/>
                    </a:xfrm>
                    <a:prstGeom prst="rect">
                      <a:avLst/>
                    </a:prstGeom>
                    <a:noFill/>
                    <a:ln w="9525">
                      <a:noFill/>
                      <a:miter lim="800000"/>
                      <a:headEnd/>
                      <a:tailEnd/>
                    </a:ln>
                  </pic:spPr>
                </pic:pic>
              </a:graphicData>
            </a:graphic>
          </wp:inline>
        </w:drawing>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BUY (B-4) shown below</w:t>
      </w:r>
      <w:r w:rsidRPr="00DB64CA">
        <w:rPr>
          <w:rFonts w:ascii="Times New Roman" w:eastAsia="Times New Roman" w:hAnsi="Times New Roman" w:cs="Times New Roman"/>
          <w:color w:val="000000" w:themeColor="text1"/>
          <w:sz w:val="27"/>
          <w:szCs w:val="27"/>
          <w:lang w:eastAsia="en-IN"/>
        </w:rPr>
        <w:br/>
        <w:t>1.  Market Low</w:t>
      </w:r>
      <w:r w:rsidRPr="00DB64CA">
        <w:rPr>
          <w:rFonts w:ascii="Times New Roman" w:eastAsia="Times New Roman" w:hAnsi="Times New Roman" w:cs="Times New Roman"/>
          <w:color w:val="000000" w:themeColor="text1"/>
          <w:sz w:val="27"/>
          <w:szCs w:val="27"/>
          <w:lang w:eastAsia="en-IN"/>
        </w:rPr>
        <w:br/>
        <w:t>2.  Bounce</w:t>
      </w:r>
      <w:r w:rsidRPr="00DB64CA">
        <w:rPr>
          <w:rFonts w:ascii="Times New Roman" w:eastAsia="Times New Roman" w:hAnsi="Times New Roman" w:cs="Times New Roman"/>
          <w:color w:val="000000" w:themeColor="text1"/>
          <w:sz w:val="27"/>
          <w:szCs w:val="27"/>
          <w:lang w:eastAsia="en-IN"/>
        </w:rPr>
        <w:br/>
        <w:t>3.  Pullback (one may go to new low</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4.  Lower bounce (on one or both</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5.  Lower pullback (another new low</w:t>
      </w:r>
      <w:proofErr w:type="gramStart"/>
      <w:r w:rsidRPr="00DB64CA">
        <w:rPr>
          <w:rFonts w:ascii="Times New Roman" w:eastAsia="Times New Roman" w:hAnsi="Times New Roman" w:cs="Times New Roman"/>
          <w:color w:val="000000" w:themeColor="text1"/>
          <w:sz w:val="27"/>
          <w:szCs w:val="27"/>
          <w:lang w:eastAsia="en-IN"/>
        </w:rPr>
        <w:t>)</w:t>
      </w:r>
      <w:proofErr w:type="gramEnd"/>
      <w:r w:rsidRPr="00DB64CA">
        <w:rPr>
          <w:rFonts w:ascii="Times New Roman" w:eastAsia="Times New Roman" w:hAnsi="Times New Roman" w:cs="Times New Roman"/>
          <w:color w:val="000000" w:themeColor="text1"/>
          <w:sz w:val="27"/>
          <w:szCs w:val="27"/>
          <w:lang w:eastAsia="en-IN"/>
        </w:rPr>
        <w:br/>
        <w:t>6.  Break up (over first bounces)</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7539CE">
        <w:rPr>
          <w:rFonts w:ascii="Times New Roman" w:eastAsia="Times New Roman" w:hAnsi="Times New Roman" w:cs="Times New Roman"/>
          <w:noProof/>
          <w:color w:val="000000" w:themeColor="text1"/>
          <w:sz w:val="27"/>
          <w:szCs w:val="27"/>
          <w:lang w:eastAsia="en-IN"/>
        </w:rPr>
        <w:drawing>
          <wp:inline distT="0" distB="0" distL="0" distR="0">
            <wp:extent cx="4518660" cy="2839085"/>
            <wp:effectExtent l="19050" t="0" r="0" b="0"/>
            <wp:docPr id="7" name="Picture 7" descr="https://www.thedowtheory.com/NEW/images/theory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thedowtheory.com/NEW/images/theory7.gif"/>
                    <pic:cNvPicPr>
                      <a:picLocks noChangeAspect="1" noChangeArrowheads="1"/>
                    </pic:cNvPicPr>
                  </pic:nvPicPr>
                  <pic:blipFill>
                    <a:blip r:embed="rId24" cstate="print"/>
                    <a:srcRect/>
                    <a:stretch>
                      <a:fillRect/>
                    </a:stretch>
                  </pic:blipFill>
                  <pic:spPr bwMode="auto">
                    <a:xfrm>
                      <a:off x="0" y="0"/>
                      <a:ext cx="4518660" cy="2839085"/>
                    </a:xfrm>
                    <a:prstGeom prst="rect">
                      <a:avLst/>
                    </a:prstGeom>
                    <a:noFill/>
                    <a:ln w="9525">
                      <a:noFill/>
                      <a:miter lim="800000"/>
                      <a:headEnd/>
                      <a:tailEnd/>
                    </a:ln>
                  </pic:spPr>
                </pic:pic>
              </a:graphicData>
            </a:graphic>
          </wp:inline>
        </w:drawing>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BUY (B-5)</w:t>
      </w:r>
      <w:r w:rsidRPr="00DB64CA">
        <w:rPr>
          <w:rFonts w:ascii="Times New Roman" w:eastAsia="Times New Roman" w:hAnsi="Times New Roman" w:cs="Times New Roman"/>
          <w:color w:val="000000" w:themeColor="text1"/>
          <w:sz w:val="27"/>
          <w:szCs w:val="27"/>
          <w:lang w:eastAsia="en-IN"/>
        </w:rPr>
        <w:br/>
        <w:t>1.  Market Low</w:t>
      </w:r>
      <w:r w:rsidRPr="00DB64CA">
        <w:rPr>
          <w:rFonts w:ascii="Times New Roman" w:eastAsia="Times New Roman" w:hAnsi="Times New Roman" w:cs="Times New Roman"/>
          <w:color w:val="000000" w:themeColor="text1"/>
          <w:sz w:val="27"/>
          <w:szCs w:val="27"/>
          <w:lang w:eastAsia="en-IN"/>
        </w:rPr>
        <w:br/>
        <w:t>2.  Bounce</w:t>
      </w:r>
      <w:r w:rsidRPr="00DB64CA">
        <w:rPr>
          <w:rFonts w:ascii="Times New Roman" w:eastAsia="Times New Roman" w:hAnsi="Times New Roman" w:cs="Times New Roman"/>
          <w:color w:val="000000" w:themeColor="text1"/>
          <w:sz w:val="27"/>
          <w:szCs w:val="27"/>
          <w:lang w:eastAsia="en-IN"/>
        </w:rPr>
        <w:br/>
      </w:r>
      <w:r w:rsidRPr="00DB64CA">
        <w:rPr>
          <w:rFonts w:ascii="Times New Roman" w:eastAsia="Times New Roman" w:hAnsi="Times New Roman" w:cs="Times New Roman"/>
          <w:color w:val="000000" w:themeColor="text1"/>
          <w:sz w:val="27"/>
          <w:szCs w:val="27"/>
          <w:lang w:eastAsia="en-IN"/>
        </w:rPr>
        <w:lastRenderedPageBreak/>
        <w:t xml:space="preserve">3.  </w:t>
      </w:r>
      <w:proofErr w:type="gramStart"/>
      <w:r w:rsidRPr="00DB64CA">
        <w:rPr>
          <w:rFonts w:ascii="Times New Roman" w:eastAsia="Times New Roman" w:hAnsi="Times New Roman" w:cs="Times New Roman"/>
          <w:color w:val="000000" w:themeColor="text1"/>
          <w:sz w:val="27"/>
          <w:szCs w:val="27"/>
          <w:lang w:eastAsia="en-IN"/>
        </w:rPr>
        <w:t>Pullback</w:t>
      </w:r>
      <w:r w:rsidRPr="00DB64CA">
        <w:rPr>
          <w:rFonts w:ascii="Times New Roman" w:eastAsia="Times New Roman" w:hAnsi="Times New Roman" w:cs="Times New Roman"/>
          <w:color w:val="000000" w:themeColor="text1"/>
          <w:sz w:val="27"/>
          <w:szCs w:val="27"/>
          <w:lang w:eastAsia="en-IN"/>
        </w:rPr>
        <w:br/>
        <w:t>4.</w:t>
      </w:r>
      <w:proofErr w:type="gramEnd"/>
      <w:r w:rsidRPr="00DB64CA">
        <w:rPr>
          <w:rFonts w:ascii="Times New Roman" w:eastAsia="Times New Roman" w:hAnsi="Times New Roman" w:cs="Times New Roman"/>
          <w:color w:val="000000" w:themeColor="text1"/>
          <w:sz w:val="27"/>
          <w:szCs w:val="27"/>
          <w:lang w:eastAsia="en-IN"/>
        </w:rPr>
        <w:t>  New all-time highs on both</w:t>
      </w:r>
    </w:p>
    <w:p w:rsidR="00DB64CA" w:rsidRPr="00DB64CA" w:rsidRDefault="00DB64CA" w:rsidP="00C46849">
      <w:pPr>
        <w:spacing w:before="251" w:after="0" w:line="240" w:lineRule="auto"/>
        <w:jc w:val="both"/>
        <w:rPr>
          <w:rFonts w:ascii="Times New Roman" w:eastAsia="Times New Roman" w:hAnsi="Times New Roman" w:cs="Times New Roman"/>
          <w:color w:val="000000" w:themeColor="text1"/>
          <w:sz w:val="27"/>
          <w:szCs w:val="27"/>
          <w:lang w:eastAsia="en-IN"/>
        </w:rPr>
      </w:pPr>
      <w:r w:rsidRPr="00DB64CA">
        <w:rPr>
          <w:rFonts w:ascii="Times New Roman" w:eastAsia="Times New Roman" w:hAnsi="Times New Roman" w:cs="Times New Roman"/>
          <w:color w:val="000000" w:themeColor="text1"/>
          <w:sz w:val="27"/>
          <w:szCs w:val="27"/>
          <w:lang w:eastAsia="en-IN"/>
        </w:rPr>
        <w:t>Other combinations of the above can occur with non-confirmations (divergence) at various points and still qualify as "signals". New all-time highs negate the need for pullbacks to confirm a new Buy.</w:t>
      </w:r>
    </w:p>
    <w:p w:rsidR="00DB64CA" w:rsidRPr="007539CE" w:rsidRDefault="00DB64CA" w:rsidP="00C46849">
      <w:pPr>
        <w:spacing w:line="240" w:lineRule="auto"/>
        <w:jc w:val="both"/>
        <w:rPr>
          <w:color w:val="000000" w:themeColor="text1"/>
        </w:rPr>
      </w:pPr>
    </w:p>
    <w:p w:rsidR="00DB64CA" w:rsidRPr="007539CE" w:rsidRDefault="00DB64CA" w:rsidP="00C46849">
      <w:pPr>
        <w:spacing w:line="240" w:lineRule="auto"/>
        <w:jc w:val="both"/>
        <w:rPr>
          <w:color w:val="000000" w:themeColor="text1"/>
        </w:rPr>
      </w:pPr>
      <w:hyperlink r:id="rId25" w:history="1">
        <w:r w:rsidRPr="007539CE">
          <w:rPr>
            <w:rStyle w:val="Hyperlink"/>
            <w:color w:val="000000" w:themeColor="text1"/>
          </w:rPr>
          <w:t>https://thedowtheory.com/resources/traditional-dow-theory/basics/</w:t>
        </w:r>
      </w:hyperlink>
    </w:p>
    <w:p w:rsidR="00DB64CA" w:rsidRPr="007539CE" w:rsidRDefault="007539CE" w:rsidP="00C46849">
      <w:pPr>
        <w:spacing w:line="240" w:lineRule="auto"/>
        <w:jc w:val="both"/>
        <w:rPr>
          <w:color w:val="000000" w:themeColor="text1"/>
        </w:rPr>
      </w:pPr>
      <w:hyperlink r:id="rId26" w:history="1">
        <w:r w:rsidRPr="007539CE">
          <w:rPr>
            <w:rStyle w:val="Hyperlink"/>
            <w:color w:val="000000" w:themeColor="text1"/>
          </w:rPr>
          <w:t>https://www.investopedia.com/terms/e/elliottwavetheory.asp</w:t>
        </w:r>
      </w:hyperlink>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What Is Elliott Wave Theory?</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Elliott Wave Theory was developed by Ralph Nelson Elliott to describe price movements in financial markets, in which he observed and identified recurring, fractal </w:t>
      </w:r>
      <w:hyperlink r:id="rId27" w:history="1">
        <w:r w:rsidRPr="007539CE">
          <w:rPr>
            <w:rFonts w:ascii="Arial" w:eastAsia="Times New Roman" w:hAnsi="Arial" w:cs="Arial"/>
            <w:color w:val="000000" w:themeColor="text1"/>
            <w:sz w:val="29"/>
            <w:u w:val="single"/>
            <w:lang w:eastAsia="en-IN"/>
          </w:rPr>
          <w:t>wave</w:t>
        </w:r>
      </w:hyperlink>
      <w:r w:rsidRPr="007539CE">
        <w:rPr>
          <w:rFonts w:ascii="Arial" w:eastAsia="Times New Roman" w:hAnsi="Arial" w:cs="Arial"/>
          <w:color w:val="000000" w:themeColor="text1"/>
          <w:sz w:val="29"/>
          <w:szCs w:val="29"/>
          <w:lang w:eastAsia="en-IN"/>
        </w:rPr>
        <w:t xml:space="preserve"> patterns. Waves can be identified in stock price movements and in consumer </w:t>
      </w:r>
      <w:proofErr w:type="spellStart"/>
      <w:r w:rsidRPr="007539CE">
        <w:rPr>
          <w:rFonts w:ascii="Arial" w:eastAsia="Times New Roman" w:hAnsi="Arial" w:cs="Arial"/>
          <w:color w:val="000000" w:themeColor="text1"/>
          <w:sz w:val="29"/>
          <w:szCs w:val="29"/>
          <w:lang w:eastAsia="en-IN"/>
        </w:rPr>
        <w:t>behavior</w:t>
      </w:r>
      <w:proofErr w:type="spellEnd"/>
      <w:r w:rsidRPr="007539CE">
        <w:rPr>
          <w:rFonts w:ascii="Arial" w:eastAsia="Times New Roman" w:hAnsi="Arial" w:cs="Arial"/>
          <w:color w:val="000000" w:themeColor="text1"/>
          <w:sz w:val="29"/>
          <w:szCs w:val="29"/>
          <w:lang w:eastAsia="en-IN"/>
        </w:rPr>
        <w:t>. Investors trying to profit from a market trend could be described as "riding a wave."</w:t>
      </w:r>
      <w:r w:rsidRPr="007539CE">
        <w:rPr>
          <w:rFonts w:ascii="Arial" w:eastAsia="Times New Roman" w:hAnsi="Arial" w:cs="Arial"/>
          <w:color w:val="000000" w:themeColor="text1"/>
          <w:spacing w:val="17"/>
          <w:vertAlign w:val="superscript"/>
          <w:lang w:eastAsia="en-IN"/>
        </w:rPr>
        <w:t>1</w:t>
      </w:r>
      <w:proofErr w:type="gramStart"/>
      <w:r w:rsidRPr="007539CE">
        <w:rPr>
          <w:rFonts w:ascii="Arial" w:eastAsia="Times New Roman" w:hAnsi="Arial" w:cs="Arial"/>
          <w:color w:val="000000" w:themeColor="text1"/>
          <w:sz w:val="29"/>
          <w:szCs w:val="29"/>
          <w:lang w:eastAsia="en-IN"/>
        </w:rPr>
        <w:t>﻿ A</w:t>
      </w:r>
      <w:proofErr w:type="gramEnd"/>
      <w:r w:rsidRPr="007539CE">
        <w:rPr>
          <w:rFonts w:ascii="Arial" w:eastAsia="Times New Roman" w:hAnsi="Arial" w:cs="Arial"/>
          <w:color w:val="000000" w:themeColor="text1"/>
          <w:sz w:val="29"/>
          <w:szCs w:val="29"/>
          <w:lang w:eastAsia="en-IN"/>
        </w:rPr>
        <w:t xml:space="preserve"> large, strong movement by homeowners to replace their existing mortgages with new ones that have better terms is called a refinancing wave.</w:t>
      </w:r>
    </w:p>
    <w:p w:rsidR="007539CE" w:rsidRPr="007539CE" w:rsidRDefault="007539CE" w:rsidP="00C46849">
      <w:pPr>
        <w:spacing w:after="0" w:line="240" w:lineRule="auto"/>
        <w:jc w:val="both"/>
        <w:outlineLvl w:val="2"/>
        <w:rPr>
          <w:rFonts w:ascii="Arial" w:eastAsia="Times New Roman" w:hAnsi="Arial" w:cs="Arial"/>
          <w:caps/>
          <w:color w:val="000000" w:themeColor="text1"/>
          <w:sz w:val="27"/>
          <w:szCs w:val="27"/>
          <w:lang w:eastAsia="en-IN"/>
        </w:rPr>
      </w:pPr>
      <w:r w:rsidRPr="007539CE">
        <w:rPr>
          <w:rFonts w:ascii="Arial" w:eastAsia="Times New Roman" w:hAnsi="Arial" w:cs="Arial"/>
          <w:caps/>
          <w:color w:val="000000" w:themeColor="text1"/>
          <w:sz w:val="27"/>
          <w:szCs w:val="27"/>
          <w:lang w:eastAsia="en-IN"/>
        </w:rPr>
        <w:t>KEY TAKEAWAYS</w:t>
      </w:r>
    </w:p>
    <w:p w:rsidR="007539CE" w:rsidRPr="007539CE" w:rsidRDefault="007539CE" w:rsidP="00C46849">
      <w:pPr>
        <w:numPr>
          <w:ilvl w:val="0"/>
          <w:numId w:val="5"/>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Elliott Wave Theory is a method of technical analysis that looks for recurrent long-term price patterns related to persistent changes in investor sentiment and psychology.</w:t>
      </w:r>
    </w:p>
    <w:p w:rsidR="007539CE" w:rsidRPr="007539CE" w:rsidRDefault="007539CE" w:rsidP="00C46849">
      <w:pPr>
        <w:numPr>
          <w:ilvl w:val="0"/>
          <w:numId w:val="5"/>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theory identifies waves identified as impulse waves that set up a pattern and corrective waves that oppose the larger trend.</w:t>
      </w:r>
    </w:p>
    <w:p w:rsidR="007539CE" w:rsidRPr="007539CE" w:rsidRDefault="007539CE" w:rsidP="00C46849">
      <w:pPr>
        <w:numPr>
          <w:ilvl w:val="0"/>
          <w:numId w:val="5"/>
        </w:numPr>
        <w:spacing w:before="100" w:beforeAutospacing="1" w:after="0"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Each set of waves is itself nested within a larger set of waves that adhere to the same impulse/corrective pattern, described as a fractal approach to investing.</w:t>
      </w:r>
    </w:p>
    <w:p w:rsidR="007539CE" w:rsidRPr="007539CE" w:rsidRDefault="007539CE" w:rsidP="00C46849">
      <w:pPr>
        <w:spacing w:before="100" w:beforeAutospacing="1" w:after="100" w:afterAutospacing="1" w:line="240" w:lineRule="auto"/>
        <w:jc w:val="both"/>
        <w:outlineLvl w:val="3"/>
        <w:rPr>
          <w:rFonts w:ascii="Arial" w:eastAsia="Times New Roman" w:hAnsi="Arial" w:cs="Arial"/>
          <w:b/>
          <w:bCs/>
          <w:color w:val="000000" w:themeColor="text1"/>
          <w:sz w:val="24"/>
          <w:szCs w:val="24"/>
          <w:lang w:eastAsia="en-IN"/>
        </w:rPr>
      </w:pPr>
      <w:r w:rsidRPr="007539CE">
        <w:rPr>
          <w:rFonts w:ascii="Arial" w:eastAsia="Times New Roman" w:hAnsi="Arial" w:cs="Arial"/>
          <w:b/>
          <w:bCs/>
          <w:color w:val="000000" w:themeColor="text1"/>
          <w:sz w:val="24"/>
          <w:szCs w:val="24"/>
          <w:lang w:eastAsia="en-IN"/>
        </w:rPr>
        <w:t>Elliott Wave Theory Basics</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Origins of Elliott Wave Theory</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w:t>
      </w:r>
      <w:hyperlink r:id="rId28" w:history="1">
        <w:r w:rsidRPr="007539CE">
          <w:rPr>
            <w:rFonts w:ascii="Arial" w:eastAsia="Times New Roman" w:hAnsi="Arial" w:cs="Arial"/>
            <w:color w:val="000000" w:themeColor="text1"/>
            <w:sz w:val="29"/>
            <w:u w:val="single"/>
            <w:lang w:eastAsia="en-IN"/>
          </w:rPr>
          <w:t>Elliott Wave Theory</w:t>
        </w:r>
      </w:hyperlink>
      <w:r w:rsidRPr="007539CE">
        <w:rPr>
          <w:rFonts w:ascii="Arial" w:eastAsia="Times New Roman" w:hAnsi="Arial" w:cs="Arial"/>
          <w:color w:val="000000" w:themeColor="text1"/>
          <w:sz w:val="29"/>
          <w:szCs w:val="29"/>
          <w:lang w:eastAsia="en-IN"/>
        </w:rPr>
        <w:t> was developed by Ralph Nelson Elliott in the 1930s. After being forced into retirement due to an illness, Elliott needed something to occupy his time and began studying 75 years worth of yearly, monthly, weekly, daily, and self-made hourly and 30-minute charts across various </w:t>
      </w:r>
      <w:hyperlink r:id="rId29" w:history="1">
        <w:r w:rsidRPr="007539CE">
          <w:rPr>
            <w:rFonts w:ascii="Arial" w:eastAsia="Times New Roman" w:hAnsi="Arial" w:cs="Arial"/>
            <w:color w:val="000000" w:themeColor="text1"/>
            <w:sz w:val="29"/>
            <w:u w:val="single"/>
            <w:lang w:eastAsia="en-IN"/>
          </w:rPr>
          <w:t>indexes</w:t>
        </w:r>
      </w:hyperlink>
      <w:r w:rsidRPr="007539CE">
        <w:rPr>
          <w:rFonts w:ascii="Arial" w:eastAsia="Times New Roman" w:hAnsi="Arial" w:cs="Arial"/>
          <w:color w:val="000000" w:themeColor="text1"/>
          <w:sz w:val="29"/>
          <w:szCs w:val="29"/>
          <w:lang w:eastAsia="en-IN"/>
        </w:rPr>
        <w:t>.</w:t>
      </w:r>
      <w:r w:rsidRPr="007539CE">
        <w:rPr>
          <w:rFonts w:ascii="Arial" w:eastAsia="Times New Roman" w:hAnsi="Arial" w:cs="Arial"/>
          <w:color w:val="000000" w:themeColor="text1"/>
          <w:spacing w:val="17"/>
          <w:vertAlign w:val="superscript"/>
          <w:lang w:eastAsia="en-IN"/>
        </w:rPr>
        <w:t>1</w:t>
      </w:r>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lastRenderedPageBreak/>
        <w:t>The theory gained notoriety in 1935 when Elliott made an uncanny prediction of a stock market </w:t>
      </w:r>
      <w:hyperlink r:id="rId30" w:history="1">
        <w:r w:rsidRPr="007539CE">
          <w:rPr>
            <w:rFonts w:ascii="Arial" w:eastAsia="Times New Roman" w:hAnsi="Arial" w:cs="Arial"/>
            <w:color w:val="000000" w:themeColor="text1"/>
            <w:sz w:val="29"/>
            <w:u w:val="single"/>
            <w:lang w:eastAsia="en-IN"/>
          </w:rPr>
          <w:t>bottom</w:t>
        </w:r>
      </w:hyperlink>
      <w:r w:rsidRPr="007539CE">
        <w:rPr>
          <w:rFonts w:ascii="Arial" w:eastAsia="Times New Roman" w:hAnsi="Arial" w:cs="Arial"/>
          <w:color w:val="000000" w:themeColor="text1"/>
          <w:sz w:val="29"/>
          <w:szCs w:val="29"/>
          <w:lang w:eastAsia="en-IN"/>
        </w:rPr>
        <w:t> and has since become a staple for thousands of </w:t>
      </w:r>
      <w:hyperlink r:id="rId31" w:history="1">
        <w:r w:rsidRPr="007539CE">
          <w:rPr>
            <w:rFonts w:ascii="Arial" w:eastAsia="Times New Roman" w:hAnsi="Arial" w:cs="Arial"/>
            <w:color w:val="000000" w:themeColor="text1"/>
            <w:sz w:val="29"/>
            <w:u w:val="single"/>
            <w:lang w:eastAsia="en-IN"/>
          </w:rPr>
          <w:t>portfolio managers</w:t>
        </w:r>
      </w:hyperlink>
      <w:r w:rsidRPr="007539CE">
        <w:rPr>
          <w:rFonts w:ascii="Arial" w:eastAsia="Times New Roman" w:hAnsi="Arial" w:cs="Arial"/>
          <w:color w:val="000000" w:themeColor="text1"/>
          <w:sz w:val="29"/>
          <w:szCs w:val="29"/>
          <w:lang w:eastAsia="en-IN"/>
        </w:rPr>
        <w:t>, traders, and private investors.</w:t>
      </w:r>
      <w:r w:rsidRPr="007539CE">
        <w:rPr>
          <w:rFonts w:ascii="Arial" w:eastAsia="Times New Roman" w:hAnsi="Arial" w:cs="Arial"/>
          <w:color w:val="000000" w:themeColor="text1"/>
          <w:spacing w:val="17"/>
          <w:vertAlign w:val="superscript"/>
          <w:lang w:eastAsia="en-IN"/>
        </w:rPr>
        <w:t>1</w:t>
      </w:r>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R.N. Elliott described specific rules governing how to identify, predict and capitalize on these wave patterns. These books, articles, and letters are covered in "R.N. Elliott's Masterworks," published in 1994. Elliott Wave International is the largest independent </w:t>
      </w:r>
      <w:hyperlink r:id="rId32" w:history="1">
        <w:r w:rsidRPr="007539CE">
          <w:rPr>
            <w:rFonts w:ascii="Arial" w:eastAsia="Times New Roman" w:hAnsi="Arial" w:cs="Arial"/>
            <w:color w:val="000000" w:themeColor="text1"/>
            <w:sz w:val="29"/>
            <w:u w:val="single"/>
            <w:lang w:eastAsia="en-IN"/>
          </w:rPr>
          <w:t>financial analysis</w:t>
        </w:r>
      </w:hyperlink>
      <w:r w:rsidRPr="007539CE">
        <w:rPr>
          <w:rFonts w:ascii="Arial" w:eastAsia="Times New Roman" w:hAnsi="Arial" w:cs="Arial"/>
          <w:color w:val="000000" w:themeColor="text1"/>
          <w:sz w:val="29"/>
          <w:szCs w:val="29"/>
          <w:lang w:eastAsia="en-IN"/>
        </w:rPr>
        <w:t> and market </w:t>
      </w:r>
      <w:hyperlink r:id="rId33" w:history="1">
        <w:r w:rsidRPr="007539CE">
          <w:rPr>
            <w:rFonts w:ascii="Arial" w:eastAsia="Times New Roman" w:hAnsi="Arial" w:cs="Arial"/>
            <w:color w:val="000000" w:themeColor="text1"/>
            <w:sz w:val="29"/>
            <w:u w:val="single"/>
            <w:lang w:eastAsia="en-IN"/>
          </w:rPr>
          <w:t>forecasting</w:t>
        </w:r>
      </w:hyperlink>
      <w:r w:rsidRPr="007539CE">
        <w:rPr>
          <w:rFonts w:ascii="Arial" w:eastAsia="Times New Roman" w:hAnsi="Arial" w:cs="Arial"/>
          <w:color w:val="000000" w:themeColor="text1"/>
          <w:sz w:val="29"/>
          <w:szCs w:val="29"/>
          <w:lang w:eastAsia="en-IN"/>
        </w:rPr>
        <w:t> firm in the world whose market analysis and forecasting are based on Elliott’s model.</w:t>
      </w:r>
      <w:r w:rsidRPr="007539CE">
        <w:rPr>
          <w:rFonts w:ascii="Arial" w:eastAsia="Times New Roman" w:hAnsi="Arial" w:cs="Arial"/>
          <w:color w:val="000000" w:themeColor="text1"/>
          <w:spacing w:val="17"/>
          <w:vertAlign w:val="superscript"/>
          <w:lang w:eastAsia="en-IN"/>
        </w:rPr>
        <w:t>1</w:t>
      </w:r>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R.N. Elliott was careful to note that these patterns do not provide any kind of </w:t>
      </w:r>
      <w:r w:rsidRPr="007539CE">
        <w:rPr>
          <w:rFonts w:ascii="Arial" w:eastAsia="Times New Roman" w:hAnsi="Arial" w:cs="Arial"/>
          <w:i/>
          <w:iCs/>
          <w:color w:val="000000" w:themeColor="text1"/>
          <w:sz w:val="29"/>
          <w:lang w:eastAsia="en-IN"/>
        </w:rPr>
        <w:t>certainty</w:t>
      </w:r>
      <w:r w:rsidRPr="007539CE">
        <w:rPr>
          <w:rFonts w:ascii="Arial" w:eastAsia="Times New Roman" w:hAnsi="Arial" w:cs="Arial"/>
          <w:color w:val="000000" w:themeColor="text1"/>
          <w:sz w:val="29"/>
          <w:szCs w:val="29"/>
          <w:lang w:eastAsia="en-IN"/>
        </w:rPr>
        <w:t> about future price movement, but rather, serve in helping to order the </w:t>
      </w:r>
      <w:r w:rsidRPr="007539CE">
        <w:rPr>
          <w:rFonts w:ascii="Arial" w:eastAsia="Times New Roman" w:hAnsi="Arial" w:cs="Arial"/>
          <w:i/>
          <w:iCs/>
          <w:color w:val="000000" w:themeColor="text1"/>
          <w:sz w:val="29"/>
          <w:lang w:eastAsia="en-IN"/>
        </w:rPr>
        <w:t>probabilities </w:t>
      </w:r>
      <w:r w:rsidRPr="007539CE">
        <w:rPr>
          <w:rFonts w:ascii="Arial" w:eastAsia="Times New Roman" w:hAnsi="Arial" w:cs="Arial"/>
          <w:color w:val="000000" w:themeColor="text1"/>
          <w:sz w:val="29"/>
          <w:szCs w:val="29"/>
          <w:lang w:eastAsia="en-IN"/>
        </w:rPr>
        <w:t>for future market action. They can be used in conjunction with other forms of </w:t>
      </w:r>
      <w:hyperlink r:id="rId34" w:history="1">
        <w:r w:rsidRPr="007539CE">
          <w:rPr>
            <w:rFonts w:ascii="Arial" w:eastAsia="Times New Roman" w:hAnsi="Arial" w:cs="Arial"/>
            <w:color w:val="000000" w:themeColor="text1"/>
            <w:sz w:val="29"/>
            <w:u w:val="single"/>
            <w:lang w:eastAsia="en-IN"/>
          </w:rPr>
          <w:t>technical analysis</w:t>
        </w:r>
      </w:hyperlink>
      <w:r w:rsidRPr="007539CE">
        <w:rPr>
          <w:rFonts w:ascii="Arial" w:eastAsia="Times New Roman" w:hAnsi="Arial" w:cs="Arial"/>
          <w:color w:val="000000" w:themeColor="text1"/>
          <w:sz w:val="29"/>
          <w:szCs w:val="29"/>
          <w:lang w:eastAsia="en-IN"/>
        </w:rPr>
        <w:t>, including </w:t>
      </w:r>
      <w:hyperlink r:id="rId35" w:history="1">
        <w:r w:rsidRPr="007539CE">
          <w:rPr>
            <w:rFonts w:ascii="Arial" w:eastAsia="Times New Roman" w:hAnsi="Arial" w:cs="Arial"/>
            <w:color w:val="000000" w:themeColor="text1"/>
            <w:sz w:val="29"/>
            <w:u w:val="single"/>
            <w:lang w:eastAsia="en-IN"/>
          </w:rPr>
          <w:t>technical indicators</w:t>
        </w:r>
      </w:hyperlink>
      <w:r w:rsidRPr="007539CE">
        <w:rPr>
          <w:rFonts w:ascii="Arial" w:eastAsia="Times New Roman" w:hAnsi="Arial" w:cs="Arial"/>
          <w:color w:val="000000" w:themeColor="text1"/>
          <w:sz w:val="29"/>
          <w:szCs w:val="29"/>
          <w:lang w:eastAsia="en-IN"/>
        </w:rPr>
        <w:t>, to identify specific opportunities. Traders may have differing interpretations of a market's Elliott Wave structure at a given time.</w:t>
      </w:r>
      <w:r w:rsidRPr="007539CE">
        <w:rPr>
          <w:rFonts w:ascii="Arial" w:eastAsia="Times New Roman" w:hAnsi="Arial" w:cs="Arial"/>
          <w:color w:val="000000" w:themeColor="text1"/>
          <w:spacing w:val="17"/>
          <w:vertAlign w:val="superscript"/>
          <w:lang w:eastAsia="en-IN"/>
        </w:rPr>
        <w:t>1</w:t>
      </w:r>
      <w:r w:rsidRPr="007539CE">
        <w:rPr>
          <w:rFonts w:ascii="Arial" w:eastAsia="Times New Roman" w:hAnsi="Arial" w:cs="Arial"/>
          <w:color w:val="000000" w:themeColor="text1"/>
          <w:sz w:val="29"/>
          <w:szCs w:val="29"/>
          <w:lang w:eastAsia="en-IN"/>
        </w:rPr>
        <w:t>﻿</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How Elliott Waves Work</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Some technical analysts try to profit from wave patterns in the stock market using the Elliott Wave Theory. This hypothesis says that stock price movements can be predicted because they move in repeating up-and-down patterns called waves that are created by investor psychology.</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theory identifies several different types of waves, including motive waves, impulse waves, and corrective waves. It is subjective, and not all traders interpret the theory the same way, or agree that it is a successful trading strategy. The whole idea of wave analysis itself does not equate to a regular blueprint formation, where you simply follow the instructions, unlike most other price formations. Wave analysis offers insights into trend dynamics and helps you understand price movements in a much deeper way.</w:t>
      </w:r>
    </w:p>
    <w:p w:rsidR="007539CE" w:rsidRPr="007539CE" w:rsidRDefault="007539CE" w:rsidP="00C46849">
      <w:pPr>
        <w:spacing w:after="0"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Elliott Wave principle consists of </w:t>
      </w:r>
      <w:r w:rsidRPr="007539CE">
        <w:rPr>
          <w:rFonts w:ascii="Arial" w:eastAsia="Times New Roman" w:hAnsi="Arial" w:cs="Arial"/>
          <w:i/>
          <w:iCs/>
          <w:color w:val="000000" w:themeColor="text1"/>
          <w:sz w:val="29"/>
          <w:lang w:eastAsia="en-IN"/>
        </w:rPr>
        <w:t>impulse</w:t>
      </w:r>
      <w:r w:rsidRPr="007539CE">
        <w:rPr>
          <w:rFonts w:ascii="Arial" w:eastAsia="Times New Roman" w:hAnsi="Arial" w:cs="Arial"/>
          <w:color w:val="000000" w:themeColor="text1"/>
          <w:sz w:val="29"/>
          <w:szCs w:val="29"/>
          <w:lang w:eastAsia="en-IN"/>
        </w:rPr>
        <w:t> and </w:t>
      </w:r>
      <w:r w:rsidRPr="007539CE">
        <w:rPr>
          <w:rFonts w:ascii="Arial" w:eastAsia="Times New Roman" w:hAnsi="Arial" w:cs="Arial"/>
          <w:i/>
          <w:iCs/>
          <w:color w:val="000000" w:themeColor="text1"/>
          <w:sz w:val="29"/>
          <w:lang w:eastAsia="en-IN"/>
        </w:rPr>
        <w:t>corrective</w:t>
      </w:r>
      <w:r w:rsidRPr="007539CE">
        <w:rPr>
          <w:rFonts w:ascii="Arial" w:eastAsia="Times New Roman" w:hAnsi="Arial" w:cs="Arial"/>
          <w:color w:val="000000" w:themeColor="text1"/>
          <w:sz w:val="29"/>
          <w:szCs w:val="29"/>
          <w:lang w:eastAsia="en-IN"/>
        </w:rPr>
        <w:t> waves at its core.</w:t>
      </w:r>
    </w:p>
    <w:p w:rsidR="007539CE" w:rsidRPr="007539CE" w:rsidRDefault="007539CE"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Impulse Waves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hyperlink r:id="rId36" w:history="1">
        <w:r w:rsidRPr="007539CE">
          <w:rPr>
            <w:rFonts w:ascii="Arial" w:eastAsia="Times New Roman" w:hAnsi="Arial" w:cs="Arial"/>
            <w:color w:val="000000" w:themeColor="text1"/>
            <w:sz w:val="29"/>
            <w:u w:val="single"/>
            <w:lang w:eastAsia="en-IN"/>
          </w:rPr>
          <w:t>Impulse waves</w:t>
        </w:r>
      </w:hyperlink>
      <w:r w:rsidRPr="007539CE">
        <w:rPr>
          <w:rFonts w:ascii="Arial" w:eastAsia="Times New Roman" w:hAnsi="Arial" w:cs="Arial"/>
          <w:color w:val="000000" w:themeColor="text1"/>
          <w:sz w:val="29"/>
          <w:szCs w:val="29"/>
          <w:lang w:eastAsia="en-IN"/>
        </w:rPr>
        <w:t xml:space="preserve"> consist of five sub-waves that make net movement in the same direction as the trend of the next-largest degree. This pattern is the most common motive wave and the easiest to spot in a market. Like all motive waves, it consists of five sub-waves; three of </w:t>
      </w:r>
      <w:r w:rsidRPr="007539CE">
        <w:rPr>
          <w:rFonts w:ascii="Arial" w:eastAsia="Times New Roman" w:hAnsi="Arial" w:cs="Arial"/>
          <w:color w:val="000000" w:themeColor="text1"/>
          <w:sz w:val="29"/>
          <w:szCs w:val="29"/>
          <w:lang w:eastAsia="en-IN"/>
        </w:rPr>
        <w:lastRenderedPageBreak/>
        <w:t xml:space="preserve">them are also motive waves, and two are corrective waves. This is </w:t>
      </w:r>
      <w:proofErr w:type="spellStart"/>
      <w:r w:rsidRPr="007539CE">
        <w:rPr>
          <w:rFonts w:ascii="Arial" w:eastAsia="Times New Roman" w:hAnsi="Arial" w:cs="Arial"/>
          <w:color w:val="000000" w:themeColor="text1"/>
          <w:sz w:val="29"/>
          <w:szCs w:val="29"/>
          <w:lang w:eastAsia="en-IN"/>
        </w:rPr>
        <w:t>labeled</w:t>
      </w:r>
      <w:proofErr w:type="spellEnd"/>
      <w:r w:rsidRPr="007539CE">
        <w:rPr>
          <w:rFonts w:ascii="Arial" w:eastAsia="Times New Roman" w:hAnsi="Arial" w:cs="Arial"/>
          <w:color w:val="000000" w:themeColor="text1"/>
          <w:sz w:val="29"/>
          <w:szCs w:val="29"/>
          <w:lang w:eastAsia="en-IN"/>
        </w:rPr>
        <w:t xml:space="preserve"> as a 5-3-5-3-5 structure, which was shown above.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However, it has three rules that define its formation. These rules are unbreakable. If one of these rules is violated, then the structure is not an impulse wave and one would need to re-label the suspected impulse wave. The three rules are: wave two cannot retrace more than 100 percent of wave one; wave three can never be the shortest of waves one, three, and five.</w:t>
      </w:r>
    </w:p>
    <w:p w:rsidR="007539CE" w:rsidRPr="007539CE" w:rsidRDefault="007539CE" w:rsidP="00C46849">
      <w:pP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Corrective Waves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hyperlink r:id="rId37" w:history="1">
        <w:r w:rsidRPr="007539CE">
          <w:rPr>
            <w:rFonts w:ascii="Arial" w:eastAsia="Times New Roman" w:hAnsi="Arial" w:cs="Arial"/>
            <w:color w:val="000000" w:themeColor="text1"/>
            <w:sz w:val="29"/>
            <w:u w:val="single"/>
            <w:lang w:eastAsia="en-IN"/>
          </w:rPr>
          <w:t>Corrective waves</w:t>
        </w:r>
      </w:hyperlink>
      <w:r w:rsidRPr="007539CE">
        <w:rPr>
          <w:rFonts w:ascii="Arial" w:eastAsia="Times New Roman" w:hAnsi="Arial" w:cs="Arial"/>
          <w:color w:val="000000" w:themeColor="text1"/>
          <w:sz w:val="29"/>
          <w:szCs w:val="29"/>
          <w:lang w:eastAsia="en-IN"/>
        </w:rPr>
        <w:t> (sometimes called Diagonal waves) consist of three, or a combination of three, sub-waves that make net movement in the direction opposite to the trend of the next-largest degree. Like all motive waves, its goal is to move the market in the direction of the trend.</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Also, like all motive waves, it consists of five sub-waves. The difference is that the diagonal looks like either an expanding or contracting wedge. Also, the sub-waves of the diagonal may not have a count of five, depending on what type of diagonal is being observed. As with the motive wave, each sub-wave of the diagonal never fully retraces the previous sub-wave, and sub-wave three of the diagonal may not be the shortest wave.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These impulse and corrective waves are nested in a self-similar fractal to create larger patterns. For example, a one-year chart may be in the midst of a corrective wave, but a 30-day chart may show a developing impulse wave. A trader with this Elliott wave interpretation might thus have a long-term </w:t>
      </w:r>
      <w:hyperlink r:id="rId38" w:history="1">
        <w:r w:rsidRPr="007539CE">
          <w:rPr>
            <w:rFonts w:ascii="Arial" w:eastAsia="Times New Roman" w:hAnsi="Arial" w:cs="Arial"/>
            <w:color w:val="000000" w:themeColor="text1"/>
            <w:sz w:val="29"/>
            <w:u w:val="single"/>
            <w:lang w:eastAsia="en-IN"/>
          </w:rPr>
          <w:t>bearish</w:t>
        </w:r>
      </w:hyperlink>
      <w:r w:rsidRPr="007539CE">
        <w:rPr>
          <w:rFonts w:ascii="Arial" w:eastAsia="Times New Roman" w:hAnsi="Arial" w:cs="Arial"/>
          <w:color w:val="000000" w:themeColor="text1"/>
          <w:sz w:val="29"/>
          <w:szCs w:val="29"/>
          <w:lang w:eastAsia="en-IN"/>
        </w:rPr>
        <w:t> outlook with a short-term </w:t>
      </w:r>
      <w:hyperlink r:id="rId39" w:history="1">
        <w:r w:rsidRPr="007539CE">
          <w:rPr>
            <w:rFonts w:ascii="Arial" w:eastAsia="Times New Roman" w:hAnsi="Arial" w:cs="Arial"/>
            <w:color w:val="000000" w:themeColor="text1"/>
            <w:sz w:val="29"/>
            <w:u w:val="single"/>
            <w:lang w:eastAsia="en-IN"/>
          </w:rPr>
          <w:t>bullish</w:t>
        </w:r>
      </w:hyperlink>
      <w:r w:rsidRPr="007539CE">
        <w:rPr>
          <w:rFonts w:ascii="Arial" w:eastAsia="Times New Roman" w:hAnsi="Arial" w:cs="Arial"/>
          <w:color w:val="000000" w:themeColor="text1"/>
          <w:sz w:val="29"/>
          <w:szCs w:val="29"/>
          <w:lang w:eastAsia="en-IN"/>
        </w:rPr>
        <w:t> outlook.</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Other Considerations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Elliott recognized that the Fibonacci sequence denotes the number of waves in impulses and corrections. Wave relationships in price and time also commonly exhibit </w:t>
      </w:r>
      <w:hyperlink r:id="rId40" w:history="1">
        <w:r w:rsidRPr="007539CE">
          <w:rPr>
            <w:rFonts w:ascii="Arial" w:eastAsia="Times New Roman" w:hAnsi="Arial" w:cs="Arial"/>
            <w:color w:val="000000" w:themeColor="text1"/>
            <w:sz w:val="29"/>
            <w:u w:val="single"/>
            <w:lang w:eastAsia="en-IN"/>
          </w:rPr>
          <w:t>Fibonacci ratios</w:t>
        </w:r>
      </w:hyperlink>
      <w:r w:rsidRPr="007539CE">
        <w:rPr>
          <w:rFonts w:ascii="Arial" w:eastAsia="Times New Roman" w:hAnsi="Arial" w:cs="Arial"/>
          <w:color w:val="000000" w:themeColor="text1"/>
          <w:sz w:val="29"/>
          <w:szCs w:val="29"/>
          <w:lang w:eastAsia="en-IN"/>
        </w:rPr>
        <w:t>, such as ~38% and 62%. For example, a corrective wave may have a </w:t>
      </w:r>
      <w:hyperlink r:id="rId41" w:history="1">
        <w:r w:rsidRPr="007539CE">
          <w:rPr>
            <w:rFonts w:ascii="Arial" w:eastAsia="Times New Roman" w:hAnsi="Arial" w:cs="Arial"/>
            <w:color w:val="000000" w:themeColor="text1"/>
            <w:sz w:val="29"/>
            <w:u w:val="single"/>
            <w:lang w:eastAsia="en-IN"/>
          </w:rPr>
          <w:t>retrace</w:t>
        </w:r>
      </w:hyperlink>
      <w:r w:rsidRPr="007539CE">
        <w:rPr>
          <w:rFonts w:ascii="Arial" w:eastAsia="Times New Roman" w:hAnsi="Arial" w:cs="Arial"/>
          <w:color w:val="000000" w:themeColor="text1"/>
          <w:sz w:val="29"/>
          <w:szCs w:val="29"/>
          <w:lang w:eastAsia="en-IN"/>
        </w:rPr>
        <w:t> of 38% of the preceding impulse.</w:t>
      </w:r>
      <w:r w:rsidRPr="007539CE">
        <w:rPr>
          <w:rFonts w:ascii="Arial" w:eastAsia="Times New Roman" w:hAnsi="Arial" w:cs="Arial"/>
          <w:color w:val="000000" w:themeColor="text1"/>
          <w:spacing w:val="17"/>
          <w:vertAlign w:val="superscript"/>
          <w:lang w:eastAsia="en-IN"/>
        </w:rPr>
        <w:t>1</w:t>
      </w:r>
      <w:r w:rsidRPr="007539CE">
        <w:rPr>
          <w:rFonts w:ascii="Arial" w:eastAsia="Times New Roman" w:hAnsi="Arial" w:cs="Arial"/>
          <w:color w:val="000000" w:themeColor="text1"/>
          <w:sz w:val="29"/>
          <w:szCs w:val="29"/>
          <w:lang w:eastAsia="en-IN"/>
        </w:rPr>
        <w:t>﻿</w:t>
      </w:r>
    </w:p>
    <w:p w:rsidR="007539CE" w:rsidRPr="007539CE" w:rsidRDefault="007539CE" w:rsidP="00C46849">
      <w:pPr>
        <w:spacing w:after="0" w:line="240" w:lineRule="auto"/>
        <w:jc w:val="both"/>
        <w:rPr>
          <w:rFonts w:ascii="Times New Roman" w:eastAsia="Times New Roman" w:hAnsi="Times New Roman" w:cs="Times New Roman"/>
          <w:color w:val="000000" w:themeColor="text1"/>
          <w:sz w:val="24"/>
          <w:szCs w:val="24"/>
          <w:lang w:eastAsia="en-IN"/>
        </w:rPr>
      </w:pPr>
      <w:r w:rsidRPr="007539CE">
        <w:rPr>
          <w:rFonts w:ascii="Times New Roman" w:eastAsia="Times New Roman" w:hAnsi="Times New Roman" w:cs="Times New Roman"/>
          <w:color w:val="000000" w:themeColor="text1"/>
          <w:sz w:val="24"/>
          <w:szCs w:val="24"/>
          <w:lang w:eastAsia="en-I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mntl-sc-block-image_1-0-39" o:spid="_x0000_i1025" type="#_x0000_t75" alt="Elliott Wave Oscillator Chart" style="width:24.3pt;height:24.3pt"/>
        </w:pic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Other analysts have developed indicators inspired by the Elliott Wave principle, including the Elliott Wave Oscillator, which is pictured in the image above. The </w:t>
      </w:r>
      <w:hyperlink r:id="rId42" w:history="1">
        <w:r w:rsidRPr="007539CE">
          <w:rPr>
            <w:rFonts w:ascii="Arial" w:eastAsia="Times New Roman" w:hAnsi="Arial" w:cs="Arial"/>
            <w:color w:val="000000" w:themeColor="text1"/>
            <w:sz w:val="29"/>
            <w:u w:val="single"/>
            <w:lang w:eastAsia="en-IN"/>
          </w:rPr>
          <w:t>oscillator</w:t>
        </w:r>
      </w:hyperlink>
      <w:r w:rsidRPr="007539CE">
        <w:rPr>
          <w:rFonts w:ascii="Arial" w:eastAsia="Times New Roman" w:hAnsi="Arial" w:cs="Arial"/>
          <w:color w:val="000000" w:themeColor="text1"/>
          <w:sz w:val="29"/>
          <w:szCs w:val="29"/>
          <w:lang w:eastAsia="en-IN"/>
        </w:rPr>
        <w:t xml:space="preserve"> provides a computerized method of </w:t>
      </w:r>
      <w:r w:rsidRPr="007539CE">
        <w:rPr>
          <w:rFonts w:ascii="Arial" w:eastAsia="Times New Roman" w:hAnsi="Arial" w:cs="Arial"/>
          <w:color w:val="000000" w:themeColor="text1"/>
          <w:sz w:val="29"/>
          <w:szCs w:val="29"/>
          <w:lang w:eastAsia="en-IN"/>
        </w:rPr>
        <w:lastRenderedPageBreak/>
        <w:t>predicting future price direction based on the difference between a five-period and 34-period moving average. Elliott Wave International’s artificial intelligence system, EWAVES, applies all Elliott wave rules and guidelines to data to generate automated Elliott wave analysis.</w:t>
      </w:r>
    </w:p>
    <w:p w:rsidR="007539CE" w:rsidRPr="007539CE" w:rsidRDefault="007539CE" w:rsidP="00C46849">
      <w:pPr>
        <w:spacing w:line="240" w:lineRule="auto"/>
        <w:jc w:val="both"/>
        <w:rPr>
          <w:color w:val="000000" w:themeColor="text1"/>
        </w:rPr>
      </w:pPr>
      <w:hyperlink r:id="rId43" w:history="1">
        <w:r w:rsidRPr="007539CE">
          <w:rPr>
            <w:rStyle w:val="Hyperlink"/>
            <w:color w:val="000000" w:themeColor="text1"/>
          </w:rPr>
          <w:t>https://www.investopedia.com/terms/e/efficientmarkethypothesis.asp</w:t>
        </w:r>
      </w:hyperlink>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What Is the Efficient Market Hypothesis (EMH)?</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efficient market hypothesis (EMH), alternatively known as the efficient market theory, is a hypothesis that states that share prices reflect all information and consistent </w:t>
      </w:r>
      <w:hyperlink r:id="rId44" w:history="1">
        <w:r w:rsidRPr="007539CE">
          <w:rPr>
            <w:rFonts w:ascii="Arial" w:eastAsia="Times New Roman" w:hAnsi="Arial" w:cs="Arial"/>
            <w:color w:val="000000" w:themeColor="text1"/>
            <w:sz w:val="29"/>
            <w:u w:val="single"/>
            <w:lang w:eastAsia="en-IN"/>
          </w:rPr>
          <w:t>alpha</w:t>
        </w:r>
      </w:hyperlink>
      <w:r w:rsidRPr="007539CE">
        <w:rPr>
          <w:rFonts w:ascii="Arial" w:eastAsia="Times New Roman" w:hAnsi="Arial" w:cs="Arial"/>
          <w:color w:val="000000" w:themeColor="text1"/>
          <w:sz w:val="29"/>
          <w:szCs w:val="29"/>
          <w:lang w:eastAsia="en-IN"/>
        </w:rPr>
        <w:t> generation is impossible.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According to the EMH, stocks always trade at their fair value on exchanges, making it impossible for investors to purchase undervalued stocks or sell stocks for inflated prices. Therefore, it should be impossible to outperform the overall market through expert stock selection or </w:t>
      </w:r>
      <w:hyperlink r:id="rId45" w:history="1">
        <w:r w:rsidRPr="007539CE">
          <w:rPr>
            <w:rFonts w:ascii="Arial" w:eastAsia="Times New Roman" w:hAnsi="Arial" w:cs="Arial"/>
            <w:color w:val="000000" w:themeColor="text1"/>
            <w:sz w:val="29"/>
            <w:u w:val="single"/>
            <w:lang w:eastAsia="en-IN"/>
          </w:rPr>
          <w:t>market timing</w:t>
        </w:r>
      </w:hyperlink>
      <w:r w:rsidRPr="007539CE">
        <w:rPr>
          <w:rFonts w:ascii="Arial" w:eastAsia="Times New Roman" w:hAnsi="Arial" w:cs="Arial"/>
          <w:color w:val="000000" w:themeColor="text1"/>
          <w:sz w:val="29"/>
          <w:szCs w:val="29"/>
          <w:lang w:eastAsia="en-IN"/>
        </w:rPr>
        <w:t>, and the only way an investor can obtain higher returns is by purchasing riskier investments.</w:t>
      </w:r>
    </w:p>
    <w:p w:rsidR="007539CE" w:rsidRPr="007539CE" w:rsidRDefault="007539CE" w:rsidP="00C46849">
      <w:pPr>
        <w:spacing w:after="0" w:line="240" w:lineRule="auto"/>
        <w:jc w:val="both"/>
        <w:outlineLvl w:val="2"/>
        <w:rPr>
          <w:rFonts w:ascii="Arial" w:eastAsia="Times New Roman" w:hAnsi="Arial" w:cs="Arial"/>
          <w:caps/>
          <w:color w:val="000000" w:themeColor="text1"/>
          <w:sz w:val="27"/>
          <w:szCs w:val="27"/>
          <w:lang w:eastAsia="en-IN"/>
        </w:rPr>
      </w:pPr>
      <w:r w:rsidRPr="007539CE">
        <w:rPr>
          <w:rFonts w:ascii="Arial" w:eastAsia="Times New Roman" w:hAnsi="Arial" w:cs="Arial"/>
          <w:caps/>
          <w:color w:val="000000" w:themeColor="text1"/>
          <w:sz w:val="27"/>
          <w:szCs w:val="27"/>
          <w:lang w:eastAsia="en-IN"/>
        </w:rPr>
        <w:t>KEY TAKEAWAYS</w:t>
      </w:r>
    </w:p>
    <w:p w:rsidR="007539CE" w:rsidRPr="007539CE" w:rsidRDefault="007539CE" w:rsidP="00C46849">
      <w:pPr>
        <w:numPr>
          <w:ilvl w:val="0"/>
          <w:numId w:val="6"/>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efficient market hypothesis (EMH) or theory states that share prices reflect all information.</w:t>
      </w:r>
    </w:p>
    <w:p w:rsidR="007539CE" w:rsidRPr="007539CE" w:rsidRDefault="007539CE" w:rsidP="00C46849">
      <w:pPr>
        <w:numPr>
          <w:ilvl w:val="0"/>
          <w:numId w:val="6"/>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EMH hypothesizes that stocks trade at their fair market value on exchanges.</w:t>
      </w:r>
    </w:p>
    <w:p w:rsidR="007539CE" w:rsidRPr="007539CE" w:rsidRDefault="007539CE" w:rsidP="00C46849">
      <w:pPr>
        <w:numPr>
          <w:ilvl w:val="0"/>
          <w:numId w:val="6"/>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Proponents of EMH posit that investors benefit from investing in a low-cost, passive portfolio.</w:t>
      </w:r>
    </w:p>
    <w:p w:rsidR="007539CE" w:rsidRPr="007539CE" w:rsidRDefault="007539CE" w:rsidP="00C46849">
      <w:pPr>
        <w:numPr>
          <w:ilvl w:val="0"/>
          <w:numId w:val="6"/>
        </w:numPr>
        <w:spacing w:before="100" w:beforeAutospacing="1" w:after="0"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Opponents of EMH believe that it is possible to beat the market and that stocks can deviate from their fair market values.</w:t>
      </w:r>
    </w:p>
    <w:p w:rsidR="007539CE" w:rsidRPr="007539CE" w:rsidRDefault="007539CE" w:rsidP="00C46849">
      <w:pPr>
        <w:spacing w:before="100" w:beforeAutospacing="1" w:after="100" w:afterAutospacing="1" w:line="240" w:lineRule="auto"/>
        <w:jc w:val="both"/>
        <w:outlineLvl w:val="3"/>
        <w:rPr>
          <w:rFonts w:ascii="Arial" w:eastAsia="Times New Roman" w:hAnsi="Arial" w:cs="Arial"/>
          <w:b/>
          <w:bCs/>
          <w:color w:val="000000" w:themeColor="text1"/>
          <w:sz w:val="24"/>
          <w:szCs w:val="24"/>
          <w:lang w:eastAsia="en-IN"/>
        </w:rPr>
      </w:pPr>
      <w:r w:rsidRPr="007539CE">
        <w:rPr>
          <w:rFonts w:ascii="Arial" w:eastAsia="Times New Roman" w:hAnsi="Arial" w:cs="Arial"/>
          <w:b/>
          <w:bCs/>
          <w:color w:val="000000" w:themeColor="text1"/>
          <w:sz w:val="24"/>
          <w:szCs w:val="24"/>
          <w:lang w:eastAsia="en-IN"/>
        </w:rPr>
        <w:t>Efficient Market Hypothesis</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Understanding the Efficient Market Hypothesis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Although it is a cornerstone of modern financial theory, the EMH is highly controversial and often disputed. Believers argue it is pointless to search for undervalued stocks or to try to predict trends in the market through either fundamental or </w:t>
      </w:r>
      <w:hyperlink r:id="rId46" w:history="1">
        <w:r w:rsidRPr="007539CE">
          <w:rPr>
            <w:rFonts w:ascii="Arial" w:eastAsia="Times New Roman" w:hAnsi="Arial" w:cs="Arial"/>
            <w:color w:val="000000" w:themeColor="text1"/>
            <w:sz w:val="29"/>
            <w:u w:val="single"/>
            <w:lang w:eastAsia="en-IN"/>
          </w:rPr>
          <w:t>technical analysis</w:t>
        </w:r>
      </w:hyperlink>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Theoretically, neither technical nor fundamental analysis can produce risk-adjusted excess returns (alpha) consistently, and only inside information can result in outsized risk-adjusted returns.</w:t>
      </w:r>
    </w:p>
    <w:p w:rsidR="007539CE" w:rsidRPr="007539CE" w:rsidRDefault="007539CE" w:rsidP="00C46849">
      <w:pPr>
        <w:pBdr>
          <w:top w:val="single" w:sz="6" w:space="0" w:color="E1E2E6"/>
          <w:left w:val="single" w:sz="6" w:space="0" w:color="E1E2E6"/>
        </w:pBdr>
        <w:spacing w:after="0" w:line="240" w:lineRule="auto"/>
        <w:jc w:val="both"/>
        <w:outlineLvl w:val="2"/>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$342,850</w:t>
      </w:r>
    </w:p>
    <w:p w:rsidR="007539CE" w:rsidRPr="007539CE" w:rsidRDefault="007539CE" w:rsidP="00C46849">
      <w:pPr>
        <w:spacing w:after="0" w:line="240" w:lineRule="auto"/>
        <w:jc w:val="both"/>
        <w:rPr>
          <w:rFonts w:ascii="Arial" w:eastAsia="Times New Roman" w:hAnsi="Arial" w:cs="Arial"/>
          <w:i/>
          <w:iCs/>
          <w:color w:val="000000" w:themeColor="text1"/>
          <w:sz w:val="29"/>
          <w:szCs w:val="29"/>
          <w:lang w:eastAsia="en-IN"/>
        </w:rPr>
      </w:pPr>
      <w:r w:rsidRPr="007539CE">
        <w:rPr>
          <w:rFonts w:ascii="Arial" w:eastAsia="Times New Roman" w:hAnsi="Arial" w:cs="Arial"/>
          <w:i/>
          <w:iCs/>
          <w:color w:val="000000" w:themeColor="text1"/>
          <w:sz w:val="29"/>
          <w:szCs w:val="29"/>
          <w:lang w:eastAsia="en-IN"/>
        </w:rPr>
        <w:lastRenderedPageBreak/>
        <w:t>The January 10, 2020 share price of the most expensive stock in the world: Berkshire Hathaway Inc. Class A (BRK.A).</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While academics point to a large body of evidence in support of EMH, an equal amount of dissension also exists. For example, investors such as Warren Buffett have consistently beaten the market over long periods, which by definition is impossible according to the EMH.</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Detractors of the EMH also point to events such as the 1987 stock market crash, when the Dow Jones Industrial Average (DJIA) fell by over 20 percent in a single day, and asset bubbles as evidence that stock prices can seriously deviate from their fair values.</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Special Considerations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Proponents of the Efficient Market Hypothesis conclude that, because of the randomness of the market, investors could do better by investing in a low-cost, passive portfolio.</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Data compiled by Morningstar Inc., in its June 2019 Active/Passive Barometer study, supports the EMH. Morningstar compared active managers’ returns in all categories against a composite made of related index funds and </w:t>
      </w:r>
      <w:hyperlink r:id="rId47" w:history="1">
        <w:r w:rsidRPr="007539CE">
          <w:rPr>
            <w:rFonts w:ascii="Arial" w:eastAsia="Times New Roman" w:hAnsi="Arial" w:cs="Arial"/>
            <w:color w:val="000000" w:themeColor="text1"/>
            <w:sz w:val="29"/>
            <w:u w:val="single"/>
            <w:lang w:eastAsia="en-IN"/>
          </w:rPr>
          <w:t>exchange-traded funds</w:t>
        </w:r>
      </w:hyperlink>
      <w:r w:rsidRPr="007539CE">
        <w:rPr>
          <w:rFonts w:ascii="Arial" w:eastAsia="Times New Roman" w:hAnsi="Arial" w:cs="Arial"/>
          <w:color w:val="000000" w:themeColor="text1"/>
          <w:sz w:val="29"/>
          <w:szCs w:val="29"/>
          <w:lang w:eastAsia="en-IN"/>
        </w:rPr>
        <w:t> (ETFs). The study found that over a 10 year period beginning June 2009, only 23% of active managers were able to outperform their passive peers. Better success rates were found in foreign equity funds and bond funds. Lower success rates were found in US large cap funds. In general, investors have fared better by investing in low-cost index funds or ETFs.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While a percentage of active managers do outperform passive funds at some point, the challenge for investors is being able to identify which ones will do so over the long-term. Less than 25 percent of the top-performing active managers can consistently outperform their passive manager counterparts over time.</w:t>
      </w:r>
    </w:p>
    <w:p w:rsidR="007539CE" w:rsidRPr="007539CE" w:rsidRDefault="007539CE" w:rsidP="00C46849">
      <w:pPr>
        <w:spacing w:line="240" w:lineRule="auto"/>
        <w:jc w:val="both"/>
        <w:rPr>
          <w:color w:val="000000" w:themeColor="text1"/>
        </w:rPr>
      </w:pPr>
      <w:hyperlink r:id="rId48" w:history="1">
        <w:r w:rsidRPr="007539CE">
          <w:rPr>
            <w:rStyle w:val="Hyperlink"/>
            <w:color w:val="000000" w:themeColor="text1"/>
          </w:rPr>
          <w:t>https://www.investopedia.com/terms/c/capm.asp</w:t>
        </w:r>
      </w:hyperlink>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What Is the Capital Asset Pricing Model?</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Capital Asset Pricing Model (CAPM) describes the relationship between systematic risk and </w:t>
      </w:r>
      <w:hyperlink r:id="rId49" w:history="1">
        <w:r w:rsidRPr="007539CE">
          <w:rPr>
            <w:rFonts w:ascii="Arial" w:eastAsia="Times New Roman" w:hAnsi="Arial" w:cs="Arial"/>
            <w:color w:val="000000" w:themeColor="text1"/>
            <w:sz w:val="29"/>
            <w:u w:val="single"/>
            <w:lang w:eastAsia="en-IN"/>
          </w:rPr>
          <w:t>expected return</w:t>
        </w:r>
      </w:hyperlink>
      <w:r w:rsidRPr="007539CE">
        <w:rPr>
          <w:rFonts w:ascii="Arial" w:eastAsia="Times New Roman" w:hAnsi="Arial" w:cs="Arial"/>
          <w:color w:val="000000" w:themeColor="text1"/>
          <w:sz w:val="29"/>
          <w:szCs w:val="29"/>
          <w:lang w:eastAsia="en-IN"/>
        </w:rPr>
        <w:t> for assets, particularly stocks. CAPM is widely used throughout finance for pricing risky </w:t>
      </w:r>
      <w:hyperlink r:id="rId50" w:history="1">
        <w:r w:rsidRPr="007539CE">
          <w:rPr>
            <w:rFonts w:ascii="Arial" w:eastAsia="Times New Roman" w:hAnsi="Arial" w:cs="Arial"/>
            <w:color w:val="000000" w:themeColor="text1"/>
            <w:sz w:val="29"/>
            <w:u w:val="single"/>
            <w:lang w:eastAsia="en-IN"/>
          </w:rPr>
          <w:t>securities</w:t>
        </w:r>
      </w:hyperlink>
      <w:r w:rsidRPr="007539CE">
        <w:rPr>
          <w:rFonts w:ascii="Arial" w:eastAsia="Times New Roman" w:hAnsi="Arial" w:cs="Arial"/>
          <w:color w:val="000000" w:themeColor="text1"/>
          <w:sz w:val="29"/>
          <w:szCs w:val="29"/>
          <w:lang w:eastAsia="en-IN"/>
        </w:rPr>
        <w:t> and generating expected returns for assets given the risk of those assets and </w:t>
      </w:r>
      <w:hyperlink r:id="rId51" w:history="1">
        <w:r w:rsidRPr="007539CE">
          <w:rPr>
            <w:rFonts w:ascii="Arial" w:eastAsia="Times New Roman" w:hAnsi="Arial" w:cs="Arial"/>
            <w:color w:val="000000" w:themeColor="text1"/>
            <w:sz w:val="29"/>
            <w:u w:val="single"/>
            <w:lang w:eastAsia="en-IN"/>
          </w:rPr>
          <w:t>cost of capital</w:t>
        </w:r>
      </w:hyperlink>
      <w:r w:rsidRPr="007539CE">
        <w:rPr>
          <w:rFonts w:ascii="Arial" w:eastAsia="Times New Roman" w:hAnsi="Arial" w:cs="Arial"/>
          <w:color w:val="000000" w:themeColor="text1"/>
          <w:sz w:val="29"/>
          <w:szCs w:val="29"/>
          <w:lang w:eastAsia="en-IN"/>
        </w:rPr>
        <w:t>.</w:t>
      </w:r>
    </w:p>
    <w:p w:rsidR="007539CE" w:rsidRPr="007539CE" w:rsidRDefault="00CE34A8" w:rsidP="00C46849">
      <w:pPr>
        <w:spacing w:after="0" w:line="240" w:lineRule="auto"/>
        <w:jc w:val="both"/>
        <w:textAlignment w:val="baseline"/>
        <w:rPr>
          <w:rFonts w:ascii="Arial" w:eastAsia="Times New Roman" w:hAnsi="Arial" w:cs="Arial"/>
          <w:color w:val="000000" w:themeColor="text1"/>
          <w:sz w:val="27"/>
          <w:szCs w:val="27"/>
          <w:lang w:eastAsia="en-IN"/>
        </w:rPr>
      </w:pPr>
      <w:r>
        <w:rPr>
          <w:rFonts w:ascii="Arial" w:eastAsia="Times New Roman" w:hAnsi="Arial" w:cs="Arial"/>
          <w:color w:val="000000" w:themeColor="text1"/>
          <w:sz w:val="27"/>
          <w:lang w:eastAsia="en-IN"/>
        </w:rPr>
        <w:lastRenderedPageBreak/>
        <w:t xml:space="preserve"> </w:t>
      </w:r>
    </w:p>
    <w:p w:rsidR="007539CE" w:rsidRPr="007539CE" w:rsidRDefault="007539CE" w:rsidP="00C46849">
      <w:pPr>
        <w:spacing w:after="0" w:line="240" w:lineRule="auto"/>
        <w:jc w:val="both"/>
        <w:textAlignment w:val="baseline"/>
        <w:rPr>
          <w:rFonts w:ascii="Arial" w:eastAsia="Times New Roman" w:hAnsi="Arial" w:cs="Arial"/>
          <w:color w:val="000000" w:themeColor="text1"/>
          <w:sz w:val="27"/>
          <w:szCs w:val="27"/>
          <w:lang w:eastAsia="en-IN"/>
        </w:rPr>
      </w:pPr>
      <w:r w:rsidRPr="007539CE">
        <w:rPr>
          <w:rFonts w:ascii="Arial" w:eastAsia="Times New Roman" w:hAnsi="Arial" w:cs="Arial"/>
          <w:color w:val="000000" w:themeColor="text1"/>
          <w:sz w:val="27"/>
          <w:szCs w:val="27"/>
          <w:lang w:eastAsia="en-IN"/>
        </w:rPr>
        <w:t> </w:t>
      </w:r>
      <w:r w:rsidRPr="007539CE">
        <w:rPr>
          <w:rFonts w:ascii="Arial" w:eastAsia="Times New Roman" w:hAnsi="Arial" w:cs="Arial"/>
          <w:b/>
          <w:bCs/>
          <w:color w:val="000000" w:themeColor="text1"/>
          <w:sz w:val="24"/>
          <w:szCs w:val="24"/>
          <w:lang w:eastAsia="en-IN"/>
        </w:rPr>
        <w:t>Capital Asset Pricing Model - CAPM</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Understanding the Capital Asset Pricing Model (CAPM)</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formula for calculating the expected return of an asset given its risk is as follows: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Times New Roman" w:eastAsia="Times New Roman" w:hAnsi="Times New Roman" w:cs="Times New Roman"/>
          <w:color w:val="000000" w:themeColor="text1"/>
          <w:sz w:val="35"/>
          <w:lang w:eastAsia="en-IN"/>
        </w:rPr>
        <w:t>\begin{aligned} &amp;</w:t>
      </w:r>
      <w:proofErr w:type="spellStart"/>
      <w:r w:rsidRPr="007539CE">
        <w:rPr>
          <w:rFonts w:ascii="Times New Roman" w:eastAsia="Times New Roman" w:hAnsi="Times New Roman" w:cs="Times New Roman"/>
          <w:color w:val="000000" w:themeColor="text1"/>
          <w:sz w:val="35"/>
          <w:lang w:eastAsia="en-IN"/>
        </w:rPr>
        <w:t>ER_i</w:t>
      </w:r>
      <w:proofErr w:type="spellEnd"/>
      <w:r w:rsidRPr="007539CE">
        <w:rPr>
          <w:rFonts w:ascii="Times New Roman" w:eastAsia="Times New Roman" w:hAnsi="Times New Roman" w:cs="Times New Roman"/>
          <w:color w:val="000000" w:themeColor="text1"/>
          <w:sz w:val="35"/>
          <w:lang w:eastAsia="en-IN"/>
        </w:rPr>
        <w:t xml:space="preserve"> = </w:t>
      </w:r>
      <w:proofErr w:type="spellStart"/>
      <w:r w:rsidRPr="007539CE">
        <w:rPr>
          <w:rFonts w:ascii="Times New Roman" w:eastAsia="Times New Roman" w:hAnsi="Times New Roman" w:cs="Times New Roman"/>
          <w:color w:val="000000" w:themeColor="text1"/>
          <w:sz w:val="35"/>
          <w:lang w:eastAsia="en-IN"/>
        </w:rPr>
        <w:t>R_f</w:t>
      </w:r>
      <w:proofErr w:type="spellEnd"/>
      <w:r w:rsidRPr="007539CE">
        <w:rPr>
          <w:rFonts w:ascii="Times New Roman" w:eastAsia="Times New Roman" w:hAnsi="Times New Roman" w:cs="Times New Roman"/>
          <w:color w:val="000000" w:themeColor="text1"/>
          <w:sz w:val="35"/>
          <w:lang w:eastAsia="en-IN"/>
        </w:rPr>
        <w:t xml:space="preserve"> + \</w:t>
      </w:r>
      <w:proofErr w:type="spellStart"/>
      <w:r w:rsidRPr="007539CE">
        <w:rPr>
          <w:rFonts w:ascii="Times New Roman" w:eastAsia="Times New Roman" w:hAnsi="Times New Roman" w:cs="Times New Roman"/>
          <w:color w:val="000000" w:themeColor="text1"/>
          <w:sz w:val="35"/>
          <w:lang w:eastAsia="en-IN"/>
        </w:rPr>
        <w:t>beta_i</w:t>
      </w:r>
      <w:proofErr w:type="spellEnd"/>
      <w:r w:rsidRPr="007539CE">
        <w:rPr>
          <w:rFonts w:ascii="Times New Roman" w:eastAsia="Times New Roman" w:hAnsi="Times New Roman" w:cs="Times New Roman"/>
          <w:color w:val="000000" w:themeColor="text1"/>
          <w:sz w:val="35"/>
          <w:lang w:eastAsia="en-IN"/>
        </w:rPr>
        <w:t xml:space="preserve"> ( </w:t>
      </w:r>
      <w:proofErr w:type="spellStart"/>
      <w:r w:rsidRPr="007539CE">
        <w:rPr>
          <w:rFonts w:ascii="Times New Roman" w:eastAsia="Times New Roman" w:hAnsi="Times New Roman" w:cs="Times New Roman"/>
          <w:color w:val="000000" w:themeColor="text1"/>
          <w:sz w:val="35"/>
          <w:lang w:eastAsia="en-IN"/>
        </w:rPr>
        <w:t>ER_m</w:t>
      </w:r>
      <w:proofErr w:type="spellEnd"/>
      <w:r w:rsidRPr="007539CE">
        <w:rPr>
          <w:rFonts w:ascii="Times New Roman" w:eastAsia="Times New Roman" w:hAnsi="Times New Roman" w:cs="Times New Roman"/>
          <w:color w:val="000000" w:themeColor="text1"/>
          <w:sz w:val="35"/>
          <w:lang w:eastAsia="en-IN"/>
        </w:rPr>
        <w:t xml:space="preserve"> - </w:t>
      </w:r>
      <w:proofErr w:type="spellStart"/>
      <w:r w:rsidRPr="007539CE">
        <w:rPr>
          <w:rFonts w:ascii="Times New Roman" w:eastAsia="Times New Roman" w:hAnsi="Times New Roman" w:cs="Times New Roman"/>
          <w:color w:val="000000" w:themeColor="text1"/>
          <w:sz w:val="35"/>
          <w:lang w:eastAsia="en-IN"/>
        </w:rPr>
        <w:t>R_f</w:t>
      </w:r>
      <w:proofErr w:type="spellEnd"/>
      <w:r w:rsidRPr="007539CE">
        <w:rPr>
          <w:rFonts w:ascii="Times New Roman" w:eastAsia="Times New Roman" w:hAnsi="Times New Roman" w:cs="Times New Roman"/>
          <w:color w:val="000000" w:themeColor="text1"/>
          <w:sz w:val="35"/>
          <w:lang w:eastAsia="en-IN"/>
        </w:rPr>
        <w:t xml:space="preserve"> ) \\ &amp;\</w:t>
      </w:r>
      <w:proofErr w:type="spellStart"/>
      <w:r w:rsidRPr="007539CE">
        <w:rPr>
          <w:rFonts w:ascii="Times New Roman" w:eastAsia="Times New Roman" w:hAnsi="Times New Roman" w:cs="Times New Roman"/>
          <w:color w:val="000000" w:themeColor="text1"/>
          <w:sz w:val="35"/>
          <w:lang w:eastAsia="en-IN"/>
        </w:rPr>
        <w:t>textbf</w:t>
      </w:r>
      <w:proofErr w:type="spellEnd"/>
      <w:r w:rsidRPr="007539CE">
        <w:rPr>
          <w:rFonts w:ascii="Times New Roman" w:eastAsia="Times New Roman" w:hAnsi="Times New Roman" w:cs="Times New Roman"/>
          <w:color w:val="000000" w:themeColor="text1"/>
          <w:sz w:val="35"/>
          <w:lang w:eastAsia="en-IN"/>
        </w:rPr>
        <w:t>{where:} \\ &amp;</w:t>
      </w:r>
      <w:proofErr w:type="spellStart"/>
      <w:r w:rsidRPr="007539CE">
        <w:rPr>
          <w:rFonts w:ascii="Times New Roman" w:eastAsia="Times New Roman" w:hAnsi="Times New Roman" w:cs="Times New Roman"/>
          <w:color w:val="000000" w:themeColor="text1"/>
          <w:sz w:val="35"/>
          <w:lang w:eastAsia="en-IN"/>
        </w:rPr>
        <w:t>ER_i</w:t>
      </w:r>
      <w:proofErr w:type="spellEnd"/>
      <w:r w:rsidRPr="007539CE">
        <w:rPr>
          <w:rFonts w:ascii="Times New Roman" w:eastAsia="Times New Roman" w:hAnsi="Times New Roman" w:cs="Times New Roman"/>
          <w:color w:val="000000" w:themeColor="text1"/>
          <w:sz w:val="35"/>
          <w:lang w:eastAsia="en-IN"/>
        </w:rPr>
        <w:t xml:space="preserve"> = \text{expected return of investment} \\ &amp;</w:t>
      </w:r>
      <w:proofErr w:type="spellStart"/>
      <w:r w:rsidRPr="007539CE">
        <w:rPr>
          <w:rFonts w:ascii="Times New Roman" w:eastAsia="Times New Roman" w:hAnsi="Times New Roman" w:cs="Times New Roman"/>
          <w:color w:val="000000" w:themeColor="text1"/>
          <w:sz w:val="35"/>
          <w:lang w:eastAsia="en-IN"/>
        </w:rPr>
        <w:t>R_f</w:t>
      </w:r>
      <w:proofErr w:type="spellEnd"/>
      <w:r w:rsidRPr="007539CE">
        <w:rPr>
          <w:rFonts w:ascii="Times New Roman" w:eastAsia="Times New Roman" w:hAnsi="Times New Roman" w:cs="Times New Roman"/>
          <w:color w:val="000000" w:themeColor="text1"/>
          <w:sz w:val="35"/>
          <w:lang w:eastAsia="en-IN"/>
        </w:rPr>
        <w:t xml:space="preserve"> = \text{risk-free rate} \\ &amp;\</w:t>
      </w:r>
      <w:proofErr w:type="spellStart"/>
      <w:r w:rsidRPr="007539CE">
        <w:rPr>
          <w:rFonts w:ascii="Times New Roman" w:eastAsia="Times New Roman" w:hAnsi="Times New Roman" w:cs="Times New Roman"/>
          <w:color w:val="000000" w:themeColor="text1"/>
          <w:sz w:val="35"/>
          <w:lang w:eastAsia="en-IN"/>
        </w:rPr>
        <w:t>beta_i</w:t>
      </w:r>
      <w:proofErr w:type="spellEnd"/>
      <w:r w:rsidRPr="007539CE">
        <w:rPr>
          <w:rFonts w:ascii="Times New Roman" w:eastAsia="Times New Roman" w:hAnsi="Times New Roman" w:cs="Times New Roman"/>
          <w:color w:val="000000" w:themeColor="text1"/>
          <w:sz w:val="35"/>
          <w:lang w:eastAsia="en-IN"/>
        </w:rPr>
        <w:t xml:space="preserve"> = \text{beta of the investment} \\ &amp;(</w:t>
      </w:r>
      <w:proofErr w:type="spellStart"/>
      <w:r w:rsidRPr="007539CE">
        <w:rPr>
          <w:rFonts w:ascii="Times New Roman" w:eastAsia="Times New Roman" w:hAnsi="Times New Roman" w:cs="Times New Roman"/>
          <w:color w:val="000000" w:themeColor="text1"/>
          <w:sz w:val="35"/>
          <w:lang w:eastAsia="en-IN"/>
        </w:rPr>
        <w:t>ER_m</w:t>
      </w:r>
      <w:proofErr w:type="spellEnd"/>
      <w:r w:rsidRPr="007539CE">
        <w:rPr>
          <w:rFonts w:ascii="Times New Roman" w:eastAsia="Times New Roman" w:hAnsi="Times New Roman" w:cs="Times New Roman"/>
          <w:color w:val="000000" w:themeColor="text1"/>
          <w:sz w:val="35"/>
          <w:lang w:eastAsia="en-IN"/>
        </w:rPr>
        <w:t xml:space="preserve"> - </w:t>
      </w:r>
      <w:proofErr w:type="spellStart"/>
      <w:r w:rsidRPr="007539CE">
        <w:rPr>
          <w:rFonts w:ascii="Times New Roman" w:eastAsia="Times New Roman" w:hAnsi="Times New Roman" w:cs="Times New Roman"/>
          <w:color w:val="000000" w:themeColor="text1"/>
          <w:sz w:val="35"/>
          <w:lang w:eastAsia="en-IN"/>
        </w:rPr>
        <w:t>R_f</w:t>
      </w:r>
      <w:proofErr w:type="spellEnd"/>
      <w:r w:rsidRPr="007539CE">
        <w:rPr>
          <w:rFonts w:ascii="Times New Roman" w:eastAsia="Times New Roman" w:hAnsi="Times New Roman" w:cs="Times New Roman"/>
          <w:color w:val="000000" w:themeColor="text1"/>
          <w:sz w:val="35"/>
          <w:lang w:eastAsia="en-IN"/>
        </w:rPr>
        <w:t>) = \text{market risk premium} \\ \end{aligned}</w:t>
      </w:r>
      <w:r w:rsidRPr="007539CE">
        <w:rPr>
          <w:rFonts w:ascii="Times New Roman" w:eastAsia="Times New Roman" w:hAnsi="Times New Roman" w:cs="Times New Roman"/>
          <w:color w:val="000000" w:themeColor="text1"/>
          <w:sz w:val="2"/>
          <w:lang w:eastAsia="en-IN"/>
        </w:rPr>
        <w:t>​</w:t>
      </w:r>
      <w:r w:rsidRPr="007539CE">
        <w:rPr>
          <w:rFonts w:ascii="KaTeX_Math" w:eastAsia="Times New Roman" w:hAnsi="KaTeX_Math" w:cs="Times New Roman"/>
          <w:i/>
          <w:iCs/>
          <w:color w:val="000000" w:themeColor="text1"/>
          <w:sz w:val="35"/>
          <w:lang w:eastAsia="en-IN"/>
        </w:rPr>
        <w:t>ER</w:t>
      </w:r>
      <w:r w:rsidRPr="007539CE">
        <w:rPr>
          <w:rFonts w:ascii="KaTeX_Math" w:eastAsia="Times New Roman" w:hAnsi="KaTeX_Math" w:cs="Times New Roman"/>
          <w:i/>
          <w:iCs/>
          <w:color w:val="000000" w:themeColor="text1"/>
          <w:sz w:val="25"/>
          <w:lang w:eastAsia="en-IN"/>
        </w:rPr>
        <w:t>i</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w:t>
      </w:r>
      <w:r w:rsidRPr="007539CE">
        <w:rPr>
          <w:rFonts w:ascii="KaTeX_Math" w:eastAsia="Times New Roman" w:hAnsi="KaTeX_Math" w:cs="Times New Roman"/>
          <w:i/>
          <w:iCs/>
          <w:color w:val="000000" w:themeColor="text1"/>
          <w:sz w:val="35"/>
          <w:lang w:eastAsia="en-IN"/>
        </w:rPr>
        <w:t>R</w:t>
      </w:r>
      <w:r w:rsidRPr="007539CE">
        <w:rPr>
          <w:rFonts w:ascii="KaTeX_Math" w:eastAsia="Times New Roman" w:hAnsi="KaTeX_Math" w:cs="Times New Roman"/>
          <w:i/>
          <w:iCs/>
          <w:color w:val="000000" w:themeColor="text1"/>
          <w:sz w:val="25"/>
          <w:lang w:eastAsia="en-IN"/>
        </w:rPr>
        <w:t>f</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w:t>
      </w:r>
      <w:r w:rsidRPr="007539CE">
        <w:rPr>
          <w:rFonts w:ascii="KaTeX_Math" w:eastAsia="Times New Roman" w:hAnsi="KaTeX_Math" w:cs="Times New Roman"/>
          <w:i/>
          <w:iCs/>
          <w:color w:val="000000" w:themeColor="text1"/>
          <w:sz w:val="35"/>
          <w:lang w:eastAsia="en-IN"/>
        </w:rPr>
        <w:t>β</w:t>
      </w:r>
      <w:r w:rsidRPr="007539CE">
        <w:rPr>
          <w:rFonts w:ascii="KaTeX_Math" w:eastAsia="Times New Roman" w:hAnsi="KaTeX_Math" w:cs="Times New Roman"/>
          <w:i/>
          <w:iCs/>
          <w:color w:val="000000" w:themeColor="text1"/>
          <w:sz w:val="25"/>
          <w:lang w:eastAsia="en-IN"/>
        </w:rPr>
        <w:t>i</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w:t>
      </w:r>
      <w:r w:rsidRPr="007539CE">
        <w:rPr>
          <w:rFonts w:ascii="KaTeX_Math" w:eastAsia="Times New Roman" w:hAnsi="KaTeX_Math" w:cs="Times New Roman"/>
          <w:i/>
          <w:iCs/>
          <w:color w:val="000000" w:themeColor="text1"/>
          <w:sz w:val="35"/>
          <w:lang w:eastAsia="en-IN"/>
        </w:rPr>
        <w:t>ER</w:t>
      </w:r>
      <w:r w:rsidRPr="007539CE">
        <w:rPr>
          <w:rFonts w:ascii="KaTeX_Math" w:eastAsia="Times New Roman" w:hAnsi="KaTeX_Math" w:cs="Times New Roman"/>
          <w:i/>
          <w:iCs/>
          <w:color w:val="000000" w:themeColor="text1"/>
          <w:sz w:val="25"/>
          <w:lang w:eastAsia="en-IN"/>
        </w:rPr>
        <w:t>m</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w:t>
      </w:r>
      <w:r w:rsidRPr="007539CE">
        <w:rPr>
          <w:rFonts w:ascii="KaTeX_Math" w:eastAsia="Times New Roman" w:hAnsi="KaTeX_Math" w:cs="Times New Roman"/>
          <w:i/>
          <w:iCs/>
          <w:color w:val="000000" w:themeColor="text1"/>
          <w:sz w:val="35"/>
          <w:lang w:eastAsia="en-IN"/>
        </w:rPr>
        <w:t>R</w:t>
      </w:r>
      <w:r w:rsidRPr="007539CE">
        <w:rPr>
          <w:rFonts w:ascii="KaTeX_Math" w:eastAsia="Times New Roman" w:hAnsi="KaTeX_Math" w:cs="Times New Roman"/>
          <w:i/>
          <w:iCs/>
          <w:color w:val="000000" w:themeColor="text1"/>
          <w:sz w:val="25"/>
          <w:lang w:eastAsia="en-IN"/>
        </w:rPr>
        <w:t>f</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w:t>
      </w:r>
      <w:r w:rsidRPr="007539CE">
        <w:rPr>
          <w:rFonts w:ascii="Times New Roman" w:eastAsia="Times New Roman" w:hAnsi="Times New Roman" w:cs="Times New Roman"/>
          <w:b/>
          <w:bCs/>
          <w:color w:val="000000" w:themeColor="text1"/>
          <w:sz w:val="35"/>
          <w:lang w:eastAsia="en-IN"/>
        </w:rPr>
        <w:t>where:</w:t>
      </w:r>
      <w:r w:rsidRPr="007539CE">
        <w:rPr>
          <w:rFonts w:ascii="KaTeX_Math" w:eastAsia="Times New Roman" w:hAnsi="KaTeX_Math" w:cs="Times New Roman"/>
          <w:i/>
          <w:iCs/>
          <w:color w:val="000000" w:themeColor="text1"/>
          <w:sz w:val="35"/>
          <w:lang w:eastAsia="en-IN"/>
        </w:rPr>
        <w:t>ER</w:t>
      </w:r>
      <w:r w:rsidRPr="007539CE">
        <w:rPr>
          <w:rFonts w:ascii="KaTeX_Math" w:eastAsia="Times New Roman" w:hAnsi="KaTeX_Math" w:cs="Times New Roman"/>
          <w:i/>
          <w:iCs/>
          <w:color w:val="000000" w:themeColor="text1"/>
          <w:sz w:val="25"/>
          <w:lang w:eastAsia="en-IN"/>
        </w:rPr>
        <w:t>i</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=expected return of investment</w:t>
      </w:r>
      <w:r w:rsidRPr="007539CE">
        <w:rPr>
          <w:rFonts w:ascii="KaTeX_Math" w:eastAsia="Times New Roman" w:hAnsi="KaTeX_Math" w:cs="Times New Roman"/>
          <w:i/>
          <w:iCs/>
          <w:color w:val="000000" w:themeColor="text1"/>
          <w:sz w:val="35"/>
          <w:lang w:eastAsia="en-IN"/>
        </w:rPr>
        <w:t>R</w:t>
      </w:r>
      <w:r w:rsidRPr="007539CE">
        <w:rPr>
          <w:rFonts w:ascii="KaTeX_Math" w:eastAsia="Times New Roman" w:hAnsi="KaTeX_Math" w:cs="Times New Roman"/>
          <w:i/>
          <w:iCs/>
          <w:color w:val="000000" w:themeColor="text1"/>
          <w:sz w:val="25"/>
          <w:lang w:eastAsia="en-IN"/>
        </w:rPr>
        <w:t>f</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=risk-free rate</w:t>
      </w:r>
      <w:r w:rsidRPr="007539CE">
        <w:rPr>
          <w:rFonts w:ascii="KaTeX_Math" w:eastAsia="Times New Roman" w:hAnsi="KaTeX_Math" w:cs="Times New Roman"/>
          <w:i/>
          <w:iCs/>
          <w:color w:val="000000" w:themeColor="text1"/>
          <w:sz w:val="35"/>
          <w:lang w:eastAsia="en-IN"/>
        </w:rPr>
        <w:t>β</w:t>
      </w:r>
      <w:r w:rsidRPr="007539CE">
        <w:rPr>
          <w:rFonts w:ascii="KaTeX_Math" w:eastAsia="Times New Roman" w:hAnsi="KaTeX_Math" w:cs="Times New Roman"/>
          <w:i/>
          <w:iCs/>
          <w:color w:val="000000" w:themeColor="text1"/>
          <w:sz w:val="25"/>
          <w:lang w:eastAsia="en-IN"/>
        </w:rPr>
        <w:t>i</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=beta of the investment(</w:t>
      </w:r>
      <w:r w:rsidRPr="007539CE">
        <w:rPr>
          <w:rFonts w:ascii="KaTeX_Math" w:eastAsia="Times New Roman" w:hAnsi="KaTeX_Math" w:cs="Times New Roman"/>
          <w:i/>
          <w:iCs/>
          <w:color w:val="000000" w:themeColor="text1"/>
          <w:sz w:val="35"/>
          <w:lang w:eastAsia="en-IN"/>
        </w:rPr>
        <w:t>ER</w:t>
      </w:r>
      <w:r w:rsidRPr="007539CE">
        <w:rPr>
          <w:rFonts w:ascii="KaTeX_Math" w:eastAsia="Times New Roman" w:hAnsi="KaTeX_Math" w:cs="Times New Roman"/>
          <w:i/>
          <w:iCs/>
          <w:color w:val="000000" w:themeColor="text1"/>
          <w:sz w:val="25"/>
          <w:lang w:eastAsia="en-IN"/>
        </w:rPr>
        <w:t>m</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w:t>
      </w:r>
      <w:r w:rsidRPr="007539CE">
        <w:rPr>
          <w:rFonts w:ascii="KaTeX_Math" w:eastAsia="Times New Roman" w:hAnsi="KaTeX_Math" w:cs="Times New Roman"/>
          <w:i/>
          <w:iCs/>
          <w:color w:val="000000" w:themeColor="text1"/>
          <w:sz w:val="35"/>
          <w:lang w:eastAsia="en-IN"/>
        </w:rPr>
        <w:t>R</w:t>
      </w:r>
      <w:r w:rsidRPr="007539CE">
        <w:rPr>
          <w:rFonts w:ascii="KaTeX_Math" w:eastAsia="Times New Roman" w:hAnsi="KaTeX_Math" w:cs="Times New Roman"/>
          <w:i/>
          <w:iCs/>
          <w:color w:val="000000" w:themeColor="text1"/>
          <w:sz w:val="25"/>
          <w:lang w:eastAsia="en-IN"/>
        </w:rPr>
        <w:t>f</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)=market risk premium</w:t>
      </w:r>
      <w:r w:rsidRPr="007539CE">
        <w:rPr>
          <w:rFonts w:ascii="Times New Roman" w:eastAsia="Times New Roman" w:hAnsi="Times New Roman" w:cs="Times New Roman"/>
          <w:color w:val="000000" w:themeColor="text1"/>
          <w:sz w:val="2"/>
          <w:lang w:eastAsia="en-IN"/>
        </w:rPr>
        <w:t>​</w:t>
      </w:r>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Investors expect to be compensated for risk and the </w:t>
      </w:r>
      <w:hyperlink r:id="rId52" w:history="1">
        <w:r w:rsidRPr="007539CE">
          <w:rPr>
            <w:rFonts w:ascii="Arial" w:eastAsia="Times New Roman" w:hAnsi="Arial" w:cs="Arial"/>
            <w:color w:val="000000" w:themeColor="text1"/>
            <w:sz w:val="29"/>
            <w:u w:val="single"/>
            <w:lang w:eastAsia="en-IN"/>
          </w:rPr>
          <w:t>time value of money</w:t>
        </w:r>
      </w:hyperlink>
      <w:r w:rsidRPr="007539CE">
        <w:rPr>
          <w:rFonts w:ascii="Arial" w:eastAsia="Times New Roman" w:hAnsi="Arial" w:cs="Arial"/>
          <w:color w:val="000000" w:themeColor="text1"/>
          <w:sz w:val="29"/>
          <w:szCs w:val="29"/>
          <w:lang w:eastAsia="en-IN"/>
        </w:rPr>
        <w:t>. The </w:t>
      </w:r>
      <w:hyperlink r:id="rId53" w:history="1">
        <w:r w:rsidRPr="007539CE">
          <w:rPr>
            <w:rFonts w:ascii="Arial" w:eastAsia="Times New Roman" w:hAnsi="Arial" w:cs="Arial"/>
            <w:color w:val="000000" w:themeColor="text1"/>
            <w:sz w:val="29"/>
            <w:u w:val="single"/>
            <w:lang w:eastAsia="en-IN"/>
          </w:rPr>
          <w:t>risk-free rate</w:t>
        </w:r>
      </w:hyperlink>
      <w:r w:rsidRPr="007539CE">
        <w:rPr>
          <w:rFonts w:ascii="Arial" w:eastAsia="Times New Roman" w:hAnsi="Arial" w:cs="Arial"/>
          <w:color w:val="000000" w:themeColor="text1"/>
          <w:sz w:val="29"/>
          <w:szCs w:val="29"/>
          <w:lang w:eastAsia="en-IN"/>
        </w:rPr>
        <w:t> in the CAPM formula accounts for the time value of money. The other components of the CAPM formula account for the investor taking on additional risk.</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w:t>
      </w:r>
      <w:hyperlink r:id="rId54" w:history="1">
        <w:r w:rsidRPr="007539CE">
          <w:rPr>
            <w:rFonts w:ascii="Arial" w:eastAsia="Times New Roman" w:hAnsi="Arial" w:cs="Arial"/>
            <w:color w:val="000000" w:themeColor="text1"/>
            <w:sz w:val="29"/>
            <w:u w:val="single"/>
            <w:lang w:eastAsia="en-IN"/>
          </w:rPr>
          <w:t>beta</w:t>
        </w:r>
      </w:hyperlink>
      <w:r w:rsidRPr="007539CE">
        <w:rPr>
          <w:rFonts w:ascii="Arial" w:eastAsia="Times New Roman" w:hAnsi="Arial" w:cs="Arial"/>
          <w:color w:val="000000" w:themeColor="text1"/>
          <w:sz w:val="29"/>
          <w:szCs w:val="29"/>
          <w:lang w:eastAsia="en-IN"/>
        </w:rPr>
        <w:t> of a potential investment is a measure of how much risk the investment will add to a portfolio that looks like the market. If a stock is riskier than the market, it will have a beta greater than one. If a stock has a beta of less than one, the formula assumes it will reduce the risk of a portfolio.</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A stock’s beta is then multiplied by the </w:t>
      </w:r>
      <w:hyperlink r:id="rId55" w:history="1">
        <w:r w:rsidRPr="007539CE">
          <w:rPr>
            <w:rFonts w:ascii="Arial" w:eastAsia="Times New Roman" w:hAnsi="Arial" w:cs="Arial"/>
            <w:color w:val="000000" w:themeColor="text1"/>
            <w:sz w:val="29"/>
            <w:u w:val="single"/>
            <w:lang w:eastAsia="en-IN"/>
          </w:rPr>
          <w:t>market risk premium</w:t>
        </w:r>
      </w:hyperlink>
      <w:r w:rsidRPr="007539CE">
        <w:rPr>
          <w:rFonts w:ascii="Arial" w:eastAsia="Times New Roman" w:hAnsi="Arial" w:cs="Arial"/>
          <w:color w:val="000000" w:themeColor="text1"/>
          <w:sz w:val="29"/>
          <w:szCs w:val="29"/>
          <w:lang w:eastAsia="en-IN"/>
        </w:rPr>
        <w:t>, which is the return expected from the market above the risk-free rate. The </w:t>
      </w:r>
      <w:hyperlink r:id="rId56" w:history="1">
        <w:r w:rsidRPr="007539CE">
          <w:rPr>
            <w:rFonts w:ascii="Arial" w:eastAsia="Times New Roman" w:hAnsi="Arial" w:cs="Arial"/>
            <w:color w:val="000000" w:themeColor="text1"/>
            <w:sz w:val="29"/>
            <w:u w:val="single"/>
            <w:lang w:eastAsia="en-IN"/>
          </w:rPr>
          <w:t>risk-free rate</w:t>
        </w:r>
      </w:hyperlink>
      <w:r w:rsidRPr="007539CE">
        <w:rPr>
          <w:rFonts w:ascii="Arial" w:eastAsia="Times New Roman" w:hAnsi="Arial" w:cs="Arial"/>
          <w:color w:val="000000" w:themeColor="text1"/>
          <w:sz w:val="29"/>
          <w:szCs w:val="29"/>
          <w:lang w:eastAsia="en-IN"/>
        </w:rPr>
        <w:t> is then added to the product of the stock’s beta and the market risk premium. The result should give an investor the </w:t>
      </w:r>
      <w:hyperlink r:id="rId57" w:history="1">
        <w:r w:rsidRPr="007539CE">
          <w:rPr>
            <w:rFonts w:ascii="Arial" w:eastAsia="Times New Roman" w:hAnsi="Arial" w:cs="Arial"/>
            <w:color w:val="000000" w:themeColor="text1"/>
            <w:sz w:val="29"/>
            <w:u w:val="single"/>
            <w:lang w:eastAsia="en-IN"/>
          </w:rPr>
          <w:t>required return</w:t>
        </w:r>
      </w:hyperlink>
      <w:r w:rsidRPr="007539CE">
        <w:rPr>
          <w:rFonts w:ascii="Arial" w:eastAsia="Times New Roman" w:hAnsi="Arial" w:cs="Arial"/>
          <w:color w:val="000000" w:themeColor="text1"/>
          <w:sz w:val="29"/>
          <w:szCs w:val="29"/>
          <w:lang w:eastAsia="en-IN"/>
        </w:rPr>
        <w:t> or </w:t>
      </w:r>
      <w:hyperlink r:id="rId58" w:history="1">
        <w:r w:rsidRPr="007539CE">
          <w:rPr>
            <w:rFonts w:ascii="Arial" w:eastAsia="Times New Roman" w:hAnsi="Arial" w:cs="Arial"/>
            <w:color w:val="000000" w:themeColor="text1"/>
            <w:sz w:val="29"/>
            <w:u w:val="single"/>
            <w:lang w:eastAsia="en-IN"/>
          </w:rPr>
          <w:t>discount rate</w:t>
        </w:r>
      </w:hyperlink>
      <w:r w:rsidRPr="007539CE">
        <w:rPr>
          <w:rFonts w:ascii="Arial" w:eastAsia="Times New Roman" w:hAnsi="Arial" w:cs="Arial"/>
          <w:color w:val="000000" w:themeColor="text1"/>
          <w:sz w:val="29"/>
          <w:szCs w:val="29"/>
          <w:lang w:eastAsia="en-IN"/>
        </w:rPr>
        <w:t> they can use to find the value of an asset.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goal of the CAPM formula is to evaluate whether a stock is fairly valued when its risk and the time value of money are compared to its expected return.</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For example, imagine an investor is contemplating a stock worth $100 per share today that pays a 3% annual dividend. The stock has a beta compared to the market of 1.3, which means it is riskier than a market portfolio. Also, assume that the risk-free rate is 3% and this investor expects the market to rise in value by 8% per year.</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lastRenderedPageBreak/>
        <w:t>The expected return of the stock based on the CAPM formula is 9.5%:</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Times New Roman" w:eastAsia="Times New Roman" w:hAnsi="Times New Roman" w:cs="Times New Roman"/>
          <w:color w:val="000000" w:themeColor="text1"/>
          <w:sz w:val="35"/>
          <w:lang w:eastAsia="en-IN"/>
        </w:rPr>
        <w:t xml:space="preserve">\begin{aligned} &amp;9.5\% = 3\% + 1.3 \times </w:t>
      </w:r>
      <w:proofErr w:type="gramStart"/>
      <w:r w:rsidRPr="007539CE">
        <w:rPr>
          <w:rFonts w:ascii="Times New Roman" w:eastAsia="Times New Roman" w:hAnsi="Times New Roman" w:cs="Times New Roman"/>
          <w:color w:val="000000" w:themeColor="text1"/>
          <w:sz w:val="35"/>
          <w:lang w:eastAsia="en-IN"/>
        </w:rPr>
        <w:t>( 8</w:t>
      </w:r>
      <w:proofErr w:type="gramEnd"/>
      <w:r w:rsidRPr="007539CE">
        <w:rPr>
          <w:rFonts w:ascii="Times New Roman" w:eastAsia="Times New Roman" w:hAnsi="Times New Roman" w:cs="Times New Roman"/>
          <w:color w:val="000000" w:themeColor="text1"/>
          <w:sz w:val="35"/>
          <w:lang w:eastAsia="en-IN"/>
        </w:rPr>
        <w:t>\% - 3\% ) \\ \end{aligned}</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t>9.5%=3%+1.3×(8%−3%)</w:t>
      </w:r>
      <w:r w:rsidRPr="007539CE">
        <w:rPr>
          <w:rFonts w:ascii="Times New Roman" w:eastAsia="Times New Roman" w:hAnsi="Times New Roman" w:cs="Times New Roman"/>
          <w:color w:val="000000" w:themeColor="text1"/>
          <w:sz w:val="2"/>
          <w:lang w:eastAsia="en-IN"/>
        </w:rPr>
        <w:t>​</w:t>
      </w:r>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expected return of the CAPM formula is used to discount the expected dividends and capital appreciation of the stock over the expected holding period. If the discounted value of those future cash flows is equal to $100 then the CAPM formula indicates the stock is fairly valued relative to risk.</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 xml:space="preserve">Problems </w:t>
      </w:r>
      <w:proofErr w:type="gramStart"/>
      <w:r w:rsidRPr="007539CE">
        <w:rPr>
          <w:rFonts w:ascii="Arial" w:eastAsia="Times New Roman" w:hAnsi="Arial" w:cs="Arial"/>
          <w:color w:val="000000" w:themeColor="text1"/>
          <w:sz w:val="36"/>
          <w:szCs w:val="36"/>
          <w:lang w:eastAsia="en-IN"/>
        </w:rPr>
        <w:t>With</w:t>
      </w:r>
      <w:proofErr w:type="gramEnd"/>
      <w:r w:rsidRPr="007539CE">
        <w:rPr>
          <w:rFonts w:ascii="Arial" w:eastAsia="Times New Roman" w:hAnsi="Arial" w:cs="Arial"/>
          <w:color w:val="000000" w:themeColor="text1"/>
          <w:sz w:val="36"/>
          <w:szCs w:val="36"/>
          <w:lang w:eastAsia="en-IN"/>
        </w:rPr>
        <w:t xml:space="preserve"> the CAPM</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There are several assumptions behind the CAPM formula that have been shown not to hold in reality. Modern financial theory rests on two assumptions: (1) securities markets are very competitive and efficient (that is, relevant information about the companies is quickly and universally distributed and absorbed); (2) these markets are dominated by rational, risk-averse investors, who seek to maximize satisfaction from returns on their investments.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Despite these issues, the CAPM formula is still widely used because it is simple and allows for easy comparisons of investment alternatives.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Including beta in the formula assumes that risk can be measured by a stock’s price </w:t>
      </w:r>
      <w:hyperlink r:id="rId59" w:history="1">
        <w:r w:rsidRPr="007539CE">
          <w:rPr>
            <w:rFonts w:ascii="Arial" w:eastAsia="Times New Roman" w:hAnsi="Arial" w:cs="Arial"/>
            <w:color w:val="000000" w:themeColor="text1"/>
            <w:sz w:val="29"/>
            <w:u w:val="single"/>
            <w:lang w:eastAsia="en-IN"/>
          </w:rPr>
          <w:t>volatility</w:t>
        </w:r>
      </w:hyperlink>
      <w:r w:rsidRPr="007539CE">
        <w:rPr>
          <w:rFonts w:ascii="Arial" w:eastAsia="Times New Roman" w:hAnsi="Arial" w:cs="Arial"/>
          <w:color w:val="000000" w:themeColor="text1"/>
          <w:sz w:val="29"/>
          <w:szCs w:val="29"/>
          <w:lang w:eastAsia="en-IN"/>
        </w:rPr>
        <w:t>. However, price movements in both directions are not equally risky. The look-back period to determine a stock’s volatility is not standard because stock returns (and risk) are not </w:t>
      </w:r>
      <w:hyperlink r:id="rId60" w:history="1">
        <w:r w:rsidRPr="007539CE">
          <w:rPr>
            <w:rFonts w:ascii="Arial" w:eastAsia="Times New Roman" w:hAnsi="Arial" w:cs="Arial"/>
            <w:color w:val="000000" w:themeColor="text1"/>
            <w:sz w:val="29"/>
            <w:u w:val="single"/>
            <w:lang w:eastAsia="en-IN"/>
          </w:rPr>
          <w:t>normally distributed</w:t>
        </w:r>
      </w:hyperlink>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CAPM also assumes that the risk-free rate will remain constant over the discounting period. Assume in the previous example that the interest rate on U.S. Treasury bonds rose to 5% or 6% during the 10-year holding period. An increase in the risk-free rate also increases the cost of the capital used in the investment and could make the stock look </w:t>
      </w:r>
      <w:hyperlink r:id="rId61" w:history="1">
        <w:r w:rsidRPr="007539CE">
          <w:rPr>
            <w:rFonts w:ascii="Arial" w:eastAsia="Times New Roman" w:hAnsi="Arial" w:cs="Arial"/>
            <w:color w:val="000000" w:themeColor="text1"/>
            <w:sz w:val="29"/>
            <w:u w:val="single"/>
            <w:lang w:eastAsia="en-IN"/>
          </w:rPr>
          <w:t>overvalued</w:t>
        </w:r>
      </w:hyperlink>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market portfolio that is used to find the market risk premium is only a theoretical value and is not an asset that can be purchased or invested in as an alternative to the stock. Most of the time, investors will use a major stock index, like the S&amp;P 500, to substitute for the market, which is an imperfect comparison.</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lastRenderedPageBreak/>
        <w:t>The most serious critique of the CAPM is the assumption that future cash flows can be estimated for the discounting process. If an investor could estimate the future return of a stock with a high level of accuracy, the CAPM would not be necessary.</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The CAPM and the Efficient Frontier</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Using the CAPM to build a portfolio is supposed to help an investor manage their risk. If an investor were able to use the CAPM to perfectly optimize a portfolio’s return relative to risk, it would exist on a curve called the </w:t>
      </w:r>
      <w:hyperlink r:id="rId62" w:history="1">
        <w:r w:rsidRPr="007539CE">
          <w:rPr>
            <w:rFonts w:ascii="Arial" w:eastAsia="Times New Roman" w:hAnsi="Arial" w:cs="Arial"/>
            <w:color w:val="000000" w:themeColor="text1"/>
            <w:sz w:val="29"/>
            <w:u w:val="single"/>
            <w:lang w:eastAsia="en-IN"/>
          </w:rPr>
          <w:t>efficient frontier</w:t>
        </w:r>
      </w:hyperlink>
      <w:r w:rsidRPr="007539CE">
        <w:rPr>
          <w:rFonts w:ascii="Arial" w:eastAsia="Times New Roman" w:hAnsi="Arial" w:cs="Arial"/>
          <w:color w:val="000000" w:themeColor="text1"/>
          <w:sz w:val="29"/>
          <w:szCs w:val="29"/>
          <w:lang w:eastAsia="en-IN"/>
        </w:rPr>
        <w:t>, as shown on the following graph.</w:t>
      </w:r>
    </w:p>
    <w:p w:rsidR="007539CE" w:rsidRPr="007539CE" w:rsidRDefault="007539CE" w:rsidP="00C46849">
      <w:pPr>
        <w:spacing w:after="0" w:line="240" w:lineRule="auto"/>
        <w:jc w:val="both"/>
        <w:rPr>
          <w:rFonts w:ascii="Times New Roman" w:eastAsia="Times New Roman" w:hAnsi="Times New Roman" w:cs="Times New Roman"/>
          <w:color w:val="000000" w:themeColor="text1"/>
          <w:sz w:val="24"/>
          <w:szCs w:val="24"/>
          <w:lang w:eastAsia="en-IN"/>
        </w:rPr>
      </w:pPr>
      <w:r w:rsidRPr="007539CE">
        <w:rPr>
          <w:rFonts w:ascii="Times New Roman" w:eastAsia="Times New Roman" w:hAnsi="Times New Roman" w:cs="Times New Roman"/>
          <w:color w:val="000000" w:themeColor="text1"/>
          <w:sz w:val="24"/>
          <w:szCs w:val="24"/>
          <w:lang w:eastAsia="en-IN"/>
        </w:rPr>
        <w:pict>
          <v:shape id="mntl-sc-block-image_1-0-42" o:spid="_x0000_i1026" type="#_x0000_t75" alt="Capital Asset Pricing Model" style="width:24.3pt;height:24.3pt"/>
        </w:pict>
      </w:r>
    </w:p>
    <w:p w:rsidR="007539CE" w:rsidRPr="007539CE" w:rsidRDefault="007539CE" w:rsidP="00C46849">
      <w:pPr>
        <w:spacing w:after="0" w:line="240" w:lineRule="auto"/>
        <w:jc w:val="both"/>
        <w:rPr>
          <w:rFonts w:ascii="Times New Roman" w:eastAsia="Times New Roman" w:hAnsi="Times New Roman" w:cs="Times New Roman"/>
          <w:color w:val="000000" w:themeColor="text1"/>
          <w:sz w:val="24"/>
          <w:szCs w:val="24"/>
          <w:lang w:eastAsia="en-IN"/>
        </w:rPr>
      </w:pPr>
      <w:r w:rsidRPr="007539CE">
        <w:rPr>
          <w:rFonts w:ascii="Times New Roman" w:eastAsia="Times New Roman" w:hAnsi="Times New Roman" w:cs="Times New Roman"/>
          <w:color w:val="000000" w:themeColor="text1"/>
          <w:sz w:val="24"/>
          <w:szCs w:val="24"/>
          <w:lang w:eastAsia="en-IN"/>
        </w:rPr>
        <w:t xml:space="preserve">Image by Julie Bang © </w:t>
      </w:r>
      <w:proofErr w:type="spellStart"/>
      <w:r w:rsidRPr="007539CE">
        <w:rPr>
          <w:rFonts w:ascii="Times New Roman" w:eastAsia="Times New Roman" w:hAnsi="Times New Roman" w:cs="Times New Roman"/>
          <w:color w:val="000000" w:themeColor="text1"/>
          <w:sz w:val="24"/>
          <w:szCs w:val="24"/>
          <w:lang w:eastAsia="en-IN"/>
        </w:rPr>
        <w:t>Investopedia</w:t>
      </w:r>
      <w:proofErr w:type="spellEnd"/>
      <w:r w:rsidRPr="007539CE">
        <w:rPr>
          <w:rFonts w:ascii="Times New Roman" w:eastAsia="Times New Roman" w:hAnsi="Times New Roman" w:cs="Times New Roman"/>
          <w:color w:val="000000" w:themeColor="text1"/>
          <w:sz w:val="24"/>
          <w:szCs w:val="24"/>
          <w:lang w:eastAsia="en-IN"/>
        </w:rPr>
        <w:t xml:space="preserve"> 2019</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graph shows how greater expected returns (y-axis) require greater expected risk (x-axis). </w:t>
      </w:r>
      <w:hyperlink r:id="rId63" w:history="1">
        <w:r w:rsidRPr="007539CE">
          <w:rPr>
            <w:rFonts w:ascii="Arial" w:eastAsia="Times New Roman" w:hAnsi="Arial" w:cs="Arial"/>
            <w:color w:val="000000" w:themeColor="text1"/>
            <w:sz w:val="29"/>
            <w:u w:val="single"/>
            <w:lang w:eastAsia="en-IN"/>
          </w:rPr>
          <w:t>Modern Portfolio Theory</w:t>
        </w:r>
      </w:hyperlink>
      <w:r w:rsidRPr="007539CE">
        <w:rPr>
          <w:rFonts w:ascii="Arial" w:eastAsia="Times New Roman" w:hAnsi="Arial" w:cs="Arial"/>
          <w:color w:val="000000" w:themeColor="text1"/>
          <w:sz w:val="29"/>
          <w:szCs w:val="29"/>
          <w:lang w:eastAsia="en-IN"/>
        </w:rPr>
        <w:t> suggests that starting with the risk-free rate, the expected return of a portfolio increases as the risk increases. Any portfolio that fits on the </w:t>
      </w:r>
      <w:hyperlink r:id="rId64" w:history="1">
        <w:r w:rsidRPr="007539CE">
          <w:rPr>
            <w:rFonts w:ascii="Arial" w:eastAsia="Times New Roman" w:hAnsi="Arial" w:cs="Arial"/>
            <w:color w:val="000000" w:themeColor="text1"/>
            <w:sz w:val="29"/>
            <w:u w:val="single"/>
            <w:lang w:eastAsia="en-IN"/>
          </w:rPr>
          <w:t>Capital Market Line (CML)</w:t>
        </w:r>
      </w:hyperlink>
      <w:r w:rsidRPr="007539CE">
        <w:rPr>
          <w:rFonts w:ascii="Arial" w:eastAsia="Times New Roman" w:hAnsi="Arial" w:cs="Arial"/>
          <w:color w:val="000000" w:themeColor="text1"/>
          <w:sz w:val="29"/>
          <w:szCs w:val="29"/>
          <w:lang w:eastAsia="en-IN"/>
        </w:rPr>
        <w:t> is better than any possible portfolio to the right of that line, but at some point, a theoretical portfolio can be constructed on the CML with the best return for the amount of risk being taken.</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CML and efficient frontier may be difficult to define, but it illustrates an important concept for investors: there is a trade-off between increased return and increased risk. Because it isn’t possible to perfectly build a portfolio that fits on the CML, it is more common for investors to take on too much risk as they seek additional return.</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In the following chart, you can see two portfolios that have been constructed to fit along the efficient frontier. Portfolio A is expected to return 8% per year and has a 10% </w:t>
      </w:r>
      <w:hyperlink r:id="rId65" w:history="1">
        <w:r w:rsidRPr="007539CE">
          <w:rPr>
            <w:rFonts w:ascii="Arial" w:eastAsia="Times New Roman" w:hAnsi="Arial" w:cs="Arial"/>
            <w:color w:val="000000" w:themeColor="text1"/>
            <w:sz w:val="29"/>
            <w:u w:val="single"/>
            <w:lang w:eastAsia="en-IN"/>
          </w:rPr>
          <w:t>standard deviation</w:t>
        </w:r>
      </w:hyperlink>
      <w:r w:rsidRPr="007539CE">
        <w:rPr>
          <w:rFonts w:ascii="Arial" w:eastAsia="Times New Roman" w:hAnsi="Arial" w:cs="Arial"/>
          <w:color w:val="000000" w:themeColor="text1"/>
          <w:sz w:val="29"/>
          <w:szCs w:val="29"/>
          <w:lang w:eastAsia="en-IN"/>
        </w:rPr>
        <w:t> or risk level. Portfolio B is expected to return 10% per year but has a 16% standard deviation. The risk of portfolio B rose faster than its expected returns.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efficient frontier assumes the same things as the CAPM and can only be calculated in theory. If a portfolio existed on the efficient frontier it would be providing the maximal return for its level of risk. However, it is impossible to know whether a portfolio exists on the efficient frontier or not because future returns cannot be predicted.</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This trade-off between risk and return applies to the CAPM and the efficient frontier graph can be rearranged to illustrate the trade-off for individual assets. In the following chart, you can see that the CML is </w:t>
      </w:r>
      <w:r w:rsidRPr="007539CE">
        <w:rPr>
          <w:rFonts w:ascii="Arial" w:eastAsia="Times New Roman" w:hAnsi="Arial" w:cs="Arial"/>
          <w:color w:val="000000" w:themeColor="text1"/>
          <w:sz w:val="29"/>
          <w:szCs w:val="29"/>
          <w:lang w:eastAsia="en-IN"/>
        </w:rPr>
        <w:lastRenderedPageBreak/>
        <w:t>now called the </w:t>
      </w:r>
      <w:hyperlink r:id="rId66" w:history="1">
        <w:r w:rsidRPr="007539CE">
          <w:rPr>
            <w:rFonts w:ascii="Arial" w:eastAsia="Times New Roman" w:hAnsi="Arial" w:cs="Arial"/>
            <w:color w:val="000000" w:themeColor="text1"/>
            <w:sz w:val="29"/>
            <w:u w:val="single"/>
            <w:lang w:eastAsia="en-IN"/>
          </w:rPr>
          <w:t>Security Market Line (SML)</w:t>
        </w:r>
      </w:hyperlink>
      <w:r w:rsidRPr="007539CE">
        <w:rPr>
          <w:rFonts w:ascii="Arial" w:eastAsia="Times New Roman" w:hAnsi="Arial" w:cs="Arial"/>
          <w:color w:val="000000" w:themeColor="text1"/>
          <w:sz w:val="29"/>
          <w:szCs w:val="29"/>
          <w:lang w:eastAsia="en-IN"/>
        </w:rPr>
        <w:t>. Instead of expected risk on the x-axis, the stock’s beta is used. As you can see in the illustration, as beta increases from one to two, the expected return is also rising.</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CAPM and SML make a connection between a stock’s beta and its expected risk. A higher beta means more risk but a portfolio of high beta stocks could exist somewhere on the CML where the trade-off is acceptable, if not the theoretical ideal.</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value of these two models is diminished by assumptions about beta and market participants that aren’t true in the real markets. For example, beta does not account for the relative riskiness of a stock that is more volatile than the market with a high frequency of downside shocks compared to another stock with an equally high beta that does not experience the same kind of price movements to the downside.</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Practical Value of the CAPM</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Considering the critiques of the CAPM and the assumptions behind its use in portfolio construction, it might be difficult to see how it could be useful. However, using the CAPM as a tool to evaluate the reasonableness of future expectations or to conduct comparisons can still have some value.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Imagine an advisor who has proposed adding a stock to a portfolio with a $100 share price. The advisor uses the CAPM to justify the price with a discount rate of 13%. The advisor’s investment manager can take this information and compare it to the company’s past performance and its peers to see if a 13% return is a reasonable expectation.</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Assume in this example that the peer group’s performance over the last few years was a little better than 10% while this stock had consistently underperformed with 9% returns. The investment manager shouldn’t take the advisor’s recommendation without some justification for the increased expected return.</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An investor can also use the concepts from the CAPM and efficient frontier to evaluate their portfolio or individual stock performance compared to the rest of the market. For example, assume that an investor’s portfolio has returned 10% per year for the last three years </w:t>
      </w:r>
      <w:r w:rsidRPr="007539CE">
        <w:rPr>
          <w:rFonts w:ascii="Arial" w:eastAsia="Times New Roman" w:hAnsi="Arial" w:cs="Arial"/>
          <w:color w:val="000000" w:themeColor="text1"/>
          <w:sz w:val="29"/>
          <w:szCs w:val="29"/>
          <w:lang w:eastAsia="en-IN"/>
        </w:rPr>
        <w:lastRenderedPageBreak/>
        <w:t>with a standard deviation of returns (risk) of 10%. However, the market averages have returned 10% for the last three years with a risk of 8%.</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The investor could use this observation to </w:t>
      </w:r>
      <w:proofErr w:type="spellStart"/>
      <w:r w:rsidRPr="007539CE">
        <w:rPr>
          <w:rFonts w:ascii="Arial" w:eastAsia="Times New Roman" w:hAnsi="Arial" w:cs="Arial"/>
          <w:color w:val="000000" w:themeColor="text1"/>
          <w:sz w:val="29"/>
          <w:szCs w:val="29"/>
          <w:lang w:eastAsia="en-IN"/>
        </w:rPr>
        <w:t>reevaluate</w:t>
      </w:r>
      <w:proofErr w:type="spellEnd"/>
      <w:r w:rsidRPr="007539CE">
        <w:rPr>
          <w:rFonts w:ascii="Arial" w:eastAsia="Times New Roman" w:hAnsi="Arial" w:cs="Arial"/>
          <w:color w:val="000000" w:themeColor="text1"/>
          <w:sz w:val="29"/>
          <w:szCs w:val="29"/>
          <w:lang w:eastAsia="en-IN"/>
        </w:rPr>
        <w:t xml:space="preserve"> how their portfolio is constructed and which holdings may not be on the SML. This could explain why the investor’s portfolio is to the right of the CML. If the holdings that are either dragging on returns or have increased the portfolio’s risk disproportionately can be identified, the investor can make changes to improve returns.</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The Bottom Line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The CAPM uses the principles of Modern Portfolio Theory to determine if a security is fairly valued. It relies on assumptions about investor </w:t>
      </w:r>
      <w:proofErr w:type="spellStart"/>
      <w:r w:rsidRPr="007539CE">
        <w:rPr>
          <w:rFonts w:ascii="Arial" w:eastAsia="Times New Roman" w:hAnsi="Arial" w:cs="Arial"/>
          <w:color w:val="000000" w:themeColor="text1"/>
          <w:sz w:val="29"/>
          <w:szCs w:val="29"/>
          <w:lang w:eastAsia="en-IN"/>
        </w:rPr>
        <w:t>behaviors</w:t>
      </w:r>
      <w:proofErr w:type="spellEnd"/>
      <w:r w:rsidRPr="007539CE">
        <w:rPr>
          <w:rFonts w:ascii="Arial" w:eastAsia="Times New Roman" w:hAnsi="Arial" w:cs="Arial"/>
          <w:color w:val="000000" w:themeColor="text1"/>
          <w:sz w:val="29"/>
          <w:szCs w:val="29"/>
          <w:lang w:eastAsia="en-IN"/>
        </w:rPr>
        <w:t>, risk and return distributions, and market fundamentals that don’t match reality. However, the underlying concepts of CAPM and the associated efficient frontier can help investors understand the relationship between expected risk and reward as they make better decisions about adding securities to a portfolio.</w:t>
      </w:r>
    </w:p>
    <w:p w:rsidR="007539CE" w:rsidRPr="007539CE" w:rsidRDefault="007539CE" w:rsidP="00C46849">
      <w:pPr>
        <w:spacing w:line="240" w:lineRule="auto"/>
        <w:jc w:val="both"/>
        <w:rPr>
          <w:color w:val="000000" w:themeColor="text1"/>
        </w:rPr>
      </w:pPr>
      <w:hyperlink r:id="rId67" w:history="1">
        <w:r w:rsidRPr="007539CE">
          <w:rPr>
            <w:rStyle w:val="Hyperlink"/>
            <w:color w:val="000000" w:themeColor="text1"/>
          </w:rPr>
          <w:t>https://www.investopedia.com/terms/s/sml.asp</w:t>
        </w:r>
      </w:hyperlink>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What Is the Security Market Line?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security market line (SML) is a line drawn on a chart that serves as a graphical representation of the </w:t>
      </w:r>
      <w:hyperlink r:id="rId68" w:history="1">
        <w:r w:rsidRPr="007539CE">
          <w:rPr>
            <w:rFonts w:ascii="Arial" w:eastAsia="Times New Roman" w:hAnsi="Arial" w:cs="Arial"/>
            <w:color w:val="000000" w:themeColor="text1"/>
            <w:sz w:val="29"/>
            <w:u w:val="single"/>
            <w:lang w:eastAsia="en-IN"/>
          </w:rPr>
          <w:t>capital asset pricing model (CAPM)</w:t>
        </w:r>
      </w:hyperlink>
      <w:r w:rsidRPr="007539CE">
        <w:rPr>
          <w:rFonts w:ascii="Arial" w:eastAsia="Times New Roman" w:hAnsi="Arial" w:cs="Arial"/>
          <w:color w:val="000000" w:themeColor="text1"/>
          <w:sz w:val="29"/>
          <w:szCs w:val="29"/>
          <w:lang w:eastAsia="en-IN"/>
        </w:rPr>
        <w:t>—which shows different levels of systematic, or market risk, of various </w:t>
      </w:r>
      <w:hyperlink r:id="rId69" w:history="1">
        <w:r w:rsidRPr="007539CE">
          <w:rPr>
            <w:rFonts w:ascii="Arial" w:eastAsia="Times New Roman" w:hAnsi="Arial" w:cs="Arial"/>
            <w:color w:val="000000" w:themeColor="text1"/>
            <w:sz w:val="29"/>
            <w:u w:val="single"/>
            <w:lang w:eastAsia="en-IN"/>
          </w:rPr>
          <w:t>marketable securities</w:t>
        </w:r>
      </w:hyperlink>
      <w:r w:rsidRPr="007539CE">
        <w:rPr>
          <w:rFonts w:ascii="Arial" w:eastAsia="Times New Roman" w:hAnsi="Arial" w:cs="Arial"/>
          <w:color w:val="000000" w:themeColor="text1"/>
          <w:sz w:val="29"/>
          <w:szCs w:val="29"/>
          <w:lang w:eastAsia="en-IN"/>
        </w:rPr>
        <w:t>, plotted against the </w:t>
      </w:r>
      <w:hyperlink r:id="rId70" w:history="1">
        <w:r w:rsidRPr="007539CE">
          <w:rPr>
            <w:rFonts w:ascii="Arial" w:eastAsia="Times New Roman" w:hAnsi="Arial" w:cs="Arial"/>
            <w:color w:val="000000" w:themeColor="text1"/>
            <w:sz w:val="29"/>
            <w:u w:val="single"/>
            <w:lang w:eastAsia="en-IN"/>
          </w:rPr>
          <w:t>expected return</w:t>
        </w:r>
      </w:hyperlink>
      <w:r w:rsidRPr="007539CE">
        <w:rPr>
          <w:rFonts w:ascii="Arial" w:eastAsia="Times New Roman" w:hAnsi="Arial" w:cs="Arial"/>
          <w:color w:val="000000" w:themeColor="text1"/>
          <w:sz w:val="29"/>
          <w:szCs w:val="29"/>
          <w:lang w:eastAsia="en-IN"/>
        </w:rPr>
        <w:t> of the entire market at any given time.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Also known as the "characteristic line," the SML is a visualization of the CAPM, where the x-axis of the chart represents risk (in terms of </w:t>
      </w:r>
      <w:hyperlink r:id="rId71" w:history="1">
        <w:r w:rsidRPr="007539CE">
          <w:rPr>
            <w:rFonts w:ascii="Arial" w:eastAsia="Times New Roman" w:hAnsi="Arial" w:cs="Arial"/>
            <w:color w:val="000000" w:themeColor="text1"/>
            <w:sz w:val="29"/>
            <w:u w:val="single"/>
            <w:lang w:eastAsia="en-IN"/>
          </w:rPr>
          <w:t>beta</w:t>
        </w:r>
      </w:hyperlink>
      <w:r w:rsidRPr="007539CE">
        <w:rPr>
          <w:rFonts w:ascii="Arial" w:eastAsia="Times New Roman" w:hAnsi="Arial" w:cs="Arial"/>
          <w:color w:val="000000" w:themeColor="text1"/>
          <w:sz w:val="29"/>
          <w:szCs w:val="29"/>
          <w:lang w:eastAsia="en-IN"/>
        </w:rPr>
        <w:t>), and the y-axis of the chart represents expected return. The </w:t>
      </w:r>
      <w:hyperlink r:id="rId72" w:history="1">
        <w:r w:rsidRPr="007539CE">
          <w:rPr>
            <w:rFonts w:ascii="Arial" w:eastAsia="Times New Roman" w:hAnsi="Arial" w:cs="Arial"/>
            <w:color w:val="000000" w:themeColor="text1"/>
            <w:sz w:val="29"/>
            <w:u w:val="single"/>
            <w:lang w:eastAsia="en-IN"/>
          </w:rPr>
          <w:t>market risk premium</w:t>
        </w:r>
      </w:hyperlink>
      <w:r w:rsidRPr="007539CE">
        <w:rPr>
          <w:rFonts w:ascii="Arial" w:eastAsia="Times New Roman" w:hAnsi="Arial" w:cs="Arial"/>
          <w:color w:val="000000" w:themeColor="text1"/>
          <w:sz w:val="29"/>
          <w:szCs w:val="29"/>
          <w:lang w:eastAsia="en-IN"/>
        </w:rPr>
        <w:t> of a given security is determined by where it is plotted on the chart relative to the SML.</w:t>
      </w:r>
    </w:p>
    <w:p w:rsidR="007539CE" w:rsidRPr="007539CE" w:rsidRDefault="00CE34A8" w:rsidP="00C46849">
      <w:pPr>
        <w:spacing w:after="0" w:line="240" w:lineRule="auto"/>
        <w:jc w:val="both"/>
        <w:textAlignment w:val="baseline"/>
        <w:rPr>
          <w:rFonts w:ascii="Arial" w:eastAsia="Times New Roman" w:hAnsi="Arial" w:cs="Arial"/>
          <w:b/>
          <w:bCs/>
          <w:color w:val="000000" w:themeColor="text1"/>
          <w:sz w:val="24"/>
          <w:szCs w:val="24"/>
          <w:lang w:eastAsia="en-IN"/>
        </w:rPr>
      </w:pPr>
      <w:r>
        <w:rPr>
          <w:rFonts w:ascii="Arial" w:eastAsia="Times New Roman" w:hAnsi="Arial" w:cs="Arial"/>
          <w:color w:val="000000" w:themeColor="text1"/>
          <w:sz w:val="27"/>
          <w:lang w:eastAsia="en-IN"/>
        </w:rPr>
        <w:t xml:space="preserve"> </w:t>
      </w:r>
      <w:r w:rsidR="007539CE" w:rsidRPr="007539CE">
        <w:rPr>
          <w:rFonts w:ascii="Arial" w:eastAsia="Times New Roman" w:hAnsi="Arial" w:cs="Arial"/>
          <w:b/>
          <w:bCs/>
          <w:color w:val="000000" w:themeColor="text1"/>
          <w:sz w:val="24"/>
          <w:szCs w:val="24"/>
          <w:lang w:eastAsia="en-IN"/>
        </w:rPr>
        <w:t>Security Market Line</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Understanding the Security Market Line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security market line is an investment evaluation tool derived from the CAPM—a model that describes </w:t>
      </w:r>
      <w:hyperlink r:id="rId73" w:history="1">
        <w:r w:rsidRPr="007539CE">
          <w:rPr>
            <w:rFonts w:ascii="Arial" w:eastAsia="Times New Roman" w:hAnsi="Arial" w:cs="Arial"/>
            <w:color w:val="000000" w:themeColor="text1"/>
            <w:sz w:val="29"/>
            <w:u w:val="single"/>
            <w:lang w:eastAsia="en-IN"/>
          </w:rPr>
          <w:t>risk-return relationship</w:t>
        </w:r>
      </w:hyperlink>
      <w:r w:rsidRPr="007539CE">
        <w:rPr>
          <w:rFonts w:ascii="Arial" w:eastAsia="Times New Roman" w:hAnsi="Arial" w:cs="Arial"/>
          <w:color w:val="000000" w:themeColor="text1"/>
          <w:sz w:val="29"/>
          <w:szCs w:val="29"/>
          <w:lang w:eastAsia="en-IN"/>
        </w:rPr>
        <w:t> for securities—and is based on the assumption that investors need to be compensated for both the </w:t>
      </w:r>
      <w:hyperlink r:id="rId74" w:history="1">
        <w:r w:rsidRPr="007539CE">
          <w:rPr>
            <w:rFonts w:ascii="Arial" w:eastAsia="Times New Roman" w:hAnsi="Arial" w:cs="Arial"/>
            <w:color w:val="000000" w:themeColor="text1"/>
            <w:sz w:val="29"/>
            <w:u w:val="single"/>
            <w:lang w:eastAsia="en-IN"/>
          </w:rPr>
          <w:t>time value of money (TVM)</w:t>
        </w:r>
      </w:hyperlink>
      <w:r w:rsidRPr="007539CE">
        <w:rPr>
          <w:rFonts w:ascii="Arial" w:eastAsia="Times New Roman" w:hAnsi="Arial" w:cs="Arial"/>
          <w:color w:val="000000" w:themeColor="text1"/>
          <w:sz w:val="29"/>
          <w:szCs w:val="29"/>
          <w:lang w:eastAsia="en-IN"/>
        </w:rPr>
        <w:t xml:space="preserve"> and the </w:t>
      </w:r>
      <w:r w:rsidRPr="007539CE">
        <w:rPr>
          <w:rFonts w:ascii="Arial" w:eastAsia="Times New Roman" w:hAnsi="Arial" w:cs="Arial"/>
          <w:color w:val="000000" w:themeColor="text1"/>
          <w:sz w:val="29"/>
          <w:szCs w:val="29"/>
          <w:lang w:eastAsia="en-IN"/>
        </w:rPr>
        <w:lastRenderedPageBreak/>
        <w:t>corresponding level of risk associated with any investment, referred to as the </w:t>
      </w:r>
      <w:hyperlink r:id="rId75" w:history="1">
        <w:r w:rsidRPr="007539CE">
          <w:rPr>
            <w:rFonts w:ascii="Arial" w:eastAsia="Times New Roman" w:hAnsi="Arial" w:cs="Arial"/>
            <w:color w:val="000000" w:themeColor="text1"/>
            <w:sz w:val="29"/>
            <w:u w:val="single"/>
            <w:lang w:eastAsia="en-IN"/>
          </w:rPr>
          <w:t>risk premium</w:t>
        </w:r>
      </w:hyperlink>
      <w:r w:rsidRPr="007539CE">
        <w:rPr>
          <w:rFonts w:ascii="Arial" w:eastAsia="Times New Roman" w:hAnsi="Arial" w:cs="Arial"/>
          <w:color w:val="000000" w:themeColor="text1"/>
          <w:sz w:val="29"/>
          <w:szCs w:val="29"/>
          <w:lang w:eastAsia="en-IN"/>
        </w:rPr>
        <w:t>.</w:t>
      </w:r>
    </w:p>
    <w:p w:rsidR="007539CE" w:rsidRPr="007539CE" w:rsidRDefault="007539CE" w:rsidP="00C46849">
      <w:pPr>
        <w:spacing w:after="0" w:line="240" w:lineRule="auto"/>
        <w:jc w:val="both"/>
        <w:outlineLvl w:val="2"/>
        <w:rPr>
          <w:rFonts w:ascii="Arial" w:eastAsia="Times New Roman" w:hAnsi="Arial" w:cs="Arial"/>
          <w:caps/>
          <w:color w:val="000000" w:themeColor="text1"/>
          <w:sz w:val="27"/>
          <w:szCs w:val="27"/>
          <w:lang w:eastAsia="en-IN"/>
        </w:rPr>
      </w:pPr>
      <w:r w:rsidRPr="007539CE">
        <w:rPr>
          <w:rFonts w:ascii="Arial" w:eastAsia="Times New Roman" w:hAnsi="Arial" w:cs="Arial"/>
          <w:caps/>
          <w:color w:val="000000" w:themeColor="text1"/>
          <w:sz w:val="27"/>
          <w:szCs w:val="27"/>
          <w:lang w:eastAsia="en-IN"/>
        </w:rPr>
        <w:t>KEY TAKEAWAYS</w:t>
      </w:r>
    </w:p>
    <w:p w:rsidR="007539CE" w:rsidRPr="007539CE" w:rsidRDefault="007539CE" w:rsidP="00C46849">
      <w:pPr>
        <w:numPr>
          <w:ilvl w:val="0"/>
          <w:numId w:val="7"/>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security market line (SML) is a line drawn on a chart that serves as a graphical representation of the capital asset pricing model (CAPM). </w:t>
      </w:r>
    </w:p>
    <w:p w:rsidR="007539CE" w:rsidRPr="007539CE" w:rsidRDefault="007539CE" w:rsidP="00C46849">
      <w:pPr>
        <w:numPr>
          <w:ilvl w:val="0"/>
          <w:numId w:val="7"/>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The SML can help to determine whether an investment product would offer a </w:t>
      </w:r>
      <w:proofErr w:type="spellStart"/>
      <w:r w:rsidRPr="007539CE">
        <w:rPr>
          <w:rFonts w:ascii="Arial" w:eastAsia="Times New Roman" w:hAnsi="Arial" w:cs="Arial"/>
          <w:color w:val="000000" w:themeColor="text1"/>
          <w:sz w:val="29"/>
          <w:szCs w:val="29"/>
          <w:lang w:eastAsia="en-IN"/>
        </w:rPr>
        <w:t>favorable</w:t>
      </w:r>
      <w:proofErr w:type="spellEnd"/>
      <w:r w:rsidRPr="007539CE">
        <w:rPr>
          <w:rFonts w:ascii="Arial" w:eastAsia="Times New Roman" w:hAnsi="Arial" w:cs="Arial"/>
          <w:color w:val="000000" w:themeColor="text1"/>
          <w:sz w:val="29"/>
          <w:szCs w:val="29"/>
          <w:lang w:eastAsia="en-IN"/>
        </w:rPr>
        <w:t xml:space="preserve"> expected return compared to its level of risk.</w:t>
      </w:r>
    </w:p>
    <w:p w:rsidR="007539CE" w:rsidRPr="007539CE" w:rsidRDefault="007539CE" w:rsidP="00C46849">
      <w:pPr>
        <w:numPr>
          <w:ilvl w:val="0"/>
          <w:numId w:val="7"/>
        </w:numPr>
        <w:spacing w:before="100" w:beforeAutospacing="1" w:after="0"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formula for plotting the SML is </w:t>
      </w:r>
      <w:r w:rsidRPr="007539CE">
        <w:rPr>
          <w:rFonts w:ascii="Arial" w:eastAsia="Times New Roman" w:hAnsi="Arial" w:cs="Arial"/>
          <w:i/>
          <w:iCs/>
          <w:color w:val="000000" w:themeColor="text1"/>
          <w:sz w:val="29"/>
          <w:lang w:eastAsia="en-IN"/>
        </w:rPr>
        <w:t>required return = risk-free rate of return + beta (market return - risk-free rate of return)</w:t>
      </w:r>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concept of beta is central to the CAPM and the SML. The beta of a security is a measure of its </w:t>
      </w:r>
      <w:hyperlink r:id="rId76" w:history="1">
        <w:r w:rsidRPr="007539CE">
          <w:rPr>
            <w:rFonts w:ascii="Arial" w:eastAsia="Times New Roman" w:hAnsi="Arial" w:cs="Arial"/>
            <w:color w:val="000000" w:themeColor="text1"/>
            <w:sz w:val="29"/>
            <w:u w:val="single"/>
            <w:lang w:eastAsia="en-IN"/>
          </w:rPr>
          <w:t>systematic risk</w:t>
        </w:r>
      </w:hyperlink>
      <w:r w:rsidRPr="007539CE">
        <w:rPr>
          <w:rFonts w:ascii="Arial" w:eastAsia="Times New Roman" w:hAnsi="Arial" w:cs="Arial"/>
          <w:color w:val="000000" w:themeColor="text1"/>
          <w:sz w:val="29"/>
          <w:szCs w:val="29"/>
          <w:lang w:eastAsia="en-IN"/>
        </w:rPr>
        <w:t>, which cannot be eliminated by diversification. A beta value of one is considered as the overall market average. A beta value that's greater than one represents a risk level greater than the market average, and a beta value of less than one represents a risk level that is less than the market average.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formula for plotting the SML is:</w:t>
      </w:r>
    </w:p>
    <w:p w:rsidR="007539CE" w:rsidRPr="007539CE" w:rsidRDefault="007539CE" w:rsidP="00C46849">
      <w:pPr>
        <w:numPr>
          <w:ilvl w:val="0"/>
          <w:numId w:val="8"/>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b/>
          <w:bCs/>
          <w:color w:val="000000" w:themeColor="text1"/>
          <w:sz w:val="29"/>
          <w:lang w:eastAsia="en-IN"/>
        </w:rPr>
        <w:t>Required return</w:t>
      </w:r>
      <w:r w:rsidRPr="007539CE">
        <w:rPr>
          <w:rFonts w:ascii="Arial" w:eastAsia="Times New Roman" w:hAnsi="Arial" w:cs="Arial"/>
          <w:color w:val="000000" w:themeColor="text1"/>
          <w:sz w:val="29"/>
          <w:szCs w:val="29"/>
          <w:lang w:eastAsia="en-IN"/>
        </w:rPr>
        <w:t> = risk-free rate of return + beta (market return - risk-free rate of return)</w:t>
      </w:r>
    </w:p>
    <w:p w:rsidR="007539CE" w:rsidRPr="007539CE" w:rsidRDefault="007539CE" w:rsidP="00C46849">
      <w:pPr>
        <w:spacing w:after="0"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w:t>
      </w:r>
    </w:p>
    <w:p w:rsidR="007539CE" w:rsidRPr="007539CE" w:rsidRDefault="007539CE" w:rsidP="00C46849">
      <w:pPr>
        <w:spacing w:after="100" w:afterAutospacing="1" w:line="240" w:lineRule="auto"/>
        <w:jc w:val="both"/>
        <w:textAlignment w:val="baseline"/>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Although the SML can be a valuable tool for evaluating and comparing securities, it should not be used in isolation, as the expected return of an investment over the risk-free rate of return is not the only thing to consider when choosing investments.</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Using the Security Market Line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security market line is commonly used by money managers and investors to evaluate an investment product that they're thinking of including in a </w:t>
      </w:r>
      <w:hyperlink r:id="rId77" w:history="1">
        <w:r w:rsidRPr="007539CE">
          <w:rPr>
            <w:rFonts w:ascii="Arial" w:eastAsia="Times New Roman" w:hAnsi="Arial" w:cs="Arial"/>
            <w:color w:val="000000" w:themeColor="text1"/>
            <w:sz w:val="29"/>
            <w:u w:val="single"/>
            <w:lang w:eastAsia="en-IN"/>
          </w:rPr>
          <w:t>portfolio</w:t>
        </w:r>
      </w:hyperlink>
      <w:r w:rsidRPr="007539CE">
        <w:rPr>
          <w:rFonts w:ascii="Arial" w:eastAsia="Times New Roman" w:hAnsi="Arial" w:cs="Arial"/>
          <w:color w:val="000000" w:themeColor="text1"/>
          <w:sz w:val="29"/>
          <w:szCs w:val="29"/>
          <w:lang w:eastAsia="en-IN"/>
        </w:rPr>
        <w:t xml:space="preserve">. The SML is useful in determining whether the security offers a </w:t>
      </w:r>
      <w:proofErr w:type="spellStart"/>
      <w:r w:rsidRPr="007539CE">
        <w:rPr>
          <w:rFonts w:ascii="Arial" w:eastAsia="Times New Roman" w:hAnsi="Arial" w:cs="Arial"/>
          <w:color w:val="000000" w:themeColor="text1"/>
          <w:sz w:val="29"/>
          <w:szCs w:val="29"/>
          <w:lang w:eastAsia="en-IN"/>
        </w:rPr>
        <w:t>favorable</w:t>
      </w:r>
      <w:proofErr w:type="spellEnd"/>
      <w:r w:rsidRPr="007539CE">
        <w:rPr>
          <w:rFonts w:ascii="Arial" w:eastAsia="Times New Roman" w:hAnsi="Arial" w:cs="Arial"/>
          <w:color w:val="000000" w:themeColor="text1"/>
          <w:sz w:val="29"/>
          <w:szCs w:val="29"/>
          <w:lang w:eastAsia="en-IN"/>
        </w:rPr>
        <w:t xml:space="preserve"> expected return compared to its level of risk.</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When a security is plotted on the SML chart, if it appears above the SML, it is considered </w:t>
      </w:r>
      <w:hyperlink r:id="rId78" w:history="1">
        <w:r w:rsidRPr="007539CE">
          <w:rPr>
            <w:rFonts w:ascii="Arial" w:eastAsia="Times New Roman" w:hAnsi="Arial" w:cs="Arial"/>
            <w:color w:val="000000" w:themeColor="text1"/>
            <w:sz w:val="29"/>
            <w:u w:val="single"/>
            <w:lang w:eastAsia="en-IN"/>
          </w:rPr>
          <w:t>undervalued</w:t>
        </w:r>
      </w:hyperlink>
      <w:r w:rsidRPr="007539CE">
        <w:rPr>
          <w:rFonts w:ascii="Arial" w:eastAsia="Times New Roman" w:hAnsi="Arial" w:cs="Arial"/>
          <w:color w:val="000000" w:themeColor="text1"/>
          <w:sz w:val="29"/>
          <w:szCs w:val="29"/>
          <w:lang w:eastAsia="en-IN"/>
        </w:rPr>
        <w:t xml:space="preserve"> because the position on the chart </w:t>
      </w:r>
      <w:r w:rsidRPr="007539CE">
        <w:rPr>
          <w:rFonts w:ascii="Arial" w:eastAsia="Times New Roman" w:hAnsi="Arial" w:cs="Arial"/>
          <w:color w:val="000000" w:themeColor="text1"/>
          <w:sz w:val="29"/>
          <w:szCs w:val="29"/>
          <w:lang w:eastAsia="en-IN"/>
        </w:rPr>
        <w:lastRenderedPageBreak/>
        <w:t>indicates that the security offers a greater return against its </w:t>
      </w:r>
      <w:hyperlink r:id="rId79" w:history="1">
        <w:r w:rsidRPr="007539CE">
          <w:rPr>
            <w:rFonts w:ascii="Arial" w:eastAsia="Times New Roman" w:hAnsi="Arial" w:cs="Arial"/>
            <w:color w:val="000000" w:themeColor="text1"/>
            <w:sz w:val="29"/>
            <w:u w:val="single"/>
            <w:lang w:eastAsia="en-IN"/>
          </w:rPr>
          <w:t>inherent risk</w:t>
        </w:r>
      </w:hyperlink>
      <w:r w:rsidRPr="007539CE">
        <w:rPr>
          <w:rFonts w:ascii="Arial" w:eastAsia="Times New Roman" w:hAnsi="Arial" w:cs="Arial"/>
          <w:color w:val="000000" w:themeColor="text1"/>
          <w:sz w:val="29"/>
          <w:szCs w:val="29"/>
          <w:lang w:eastAsia="en-IN"/>
        </w:rPr>
        <w:t>.</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Conversely, if the security plots below the SML, it is considered overvalued in price because the expected return does not overcome the inherent risk.</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The SML is frequently used in comparing two similar securities that offer approximately the same return, in order to determine which of them involves the least amount of inherent market risk relative to the expected return. The SML can also be used to compare securities of equal risk to see which one offers the highest expected return against that level of risk.</w:t>
      </w:r>
    </w:p>
    <w:p w:rsidR="007539CE" w:rsidRPr="007539CE" w:rsidRDefault="007539CE" w:rsidP="00C46849">
      <w:pPr>
        <w:spacing w:line="240" w:lineRule="auto"/>
        <w:jc w:val="both"/>
        <w:rPr>
          <w:color w:val="000000" w:themeColor="text1"/>
        </w:rPr>
      </w:pPr>
      <w:hyperlink r:id="rId80" w:history="1">
        <w:r w:rsidRPr="007539CE">
          <w:rPr>
            <w:rStyle w:val="Hyperlink"/>
            <w:color w:val="000000" w:themeColor="text1"/>
          </w:rPr>
          <w:t>https://www.investopedia.com/terms/c/cml.asp</w:t>
        </w:r>
      </w:hyperlink>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What Is the Capital Market Line (CML)?</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capital market line (CML) represents portfolios that optimally combine risk and return. </w:t>
      </w:r>
      <w:hyperlink r:id="rId81" w:history="1">
        <w:r w:rsidRPr="007539CE">
          <w:rPr>
            <w:rStyle w:val="Hyperlink"/>
            <w:rFonts w:ascii="Arial" w:hAnsi="Arial" w:cs="Arial"/>
            <w:color w:val="000000" w:themeColor="text1"/>
            <w:sz w:val="29"/>
            <w:szCs w:val="29"/>
          </w:rPr>
          <w:t>Capital asset pricing model</w:t>
        </w:r>
      </w:hyperlink>
      <w:r w:rsidRPr="007539CE">
        <w:rPr>
          <w:rFonts w:ascii="Arial" w:hAnsi="Arial" w:cs="Arial"/>
          <w:color w:val="000000" w:themeColor="text1"/>
          <w:sz w:val="29"/>
          <w:szCs w:val="29"/>
        </w:rPr>
        <w:t> (CAPM</w:t>
      </w:r>
      <w:proofErr w:type="gramStart"/>
      <w:r w:rsidRPr="007539CE">
        <w:rPr>
          <w:rFonts w:ascii="Arial" w:hAnsi="Arial" w:cs="Arial"/>
          <w:color w:val="000000" w:themeColor="text1"/>
          <w:sz w:val="29"/>
          <w:szCs w:val="29"/>
        </w:rPr>
        <w:t>),</w:t>
      </w:r>
      <w:proofErr w:type="gramEnd"/>
      <w:r w:rsidRPr="007539CE">
        <w:rPr>
          <w:rFonts w:ascii="Arial" w:hAnsi="Arial" w:cs="Arial"/>
          <w:color w:val="000000" w:themeColor="text1"/>
          <w:sz w:val="29"/>
          <w:szCs w:val="29"/>
        </w:rPr>
        <w:t xml:space="preserve"> depicts the trade-off between risk and return for efficient portfolios. It is a theoretical concept that represents all the portfolios that optimally combine the </w:t>
      </w:r>
      <w:hyperlink r:id="rId82" w:history="1">
        <w:r w:rsidRPr="007539CE">
          <w:rPr>
            <w:rStyle w:val="Hyperlink"/>
            <w:rFonts w:ascii="Arial" w:hAnsi="Arial" w:cs="Arial"/>
            <w:color w:val="000000" w:themeColor="text1"/>
            <w:sz w:val="29"/>
            <w:szCs w:val="29"/>
          </w:rPr>
          <w:t>risk-free rate of return</w:t>
        </w:r>
      </w:hyperlink>
      <w:r w:rsidRPr="007539CE">
        <w:rPr>
          <w:rFonts w:ascii="Arial" w:hAnsi="Arial" w:cs="Arial"/>
          <w:color w:val="000000" w:themeColor="text1"/>
          <w:sz w:val="29"/>
          <w:szCs w:val="29"/>
        </w:rPr>
        <w:t> and the market portfolio of risky assets. Under CAPM, all investors will choose a position on the capital market line, in equilibrium, by borrowing or lending at the risk-free rate, since this maximizes return for a given level of risk.</w:t>
      </w:r>
    </w:p>
    <w:p w:rsidR="007539CE" w:rsidRPr="007539CE" w:rsidRDefault="007539CE" w:rsidP="00C46849">
      <w:pPr>
        <w:pStyle w:val="Heading3"/>
        <w:spacing w:before="0" w:beforeAutospacing="0" w:after="0" w:afterAutospacing="0"/>
        <w:jc w:val="both"/>
        <w:rPr>
          <w:rFonts w:ascii="Arial" w:hAnsi="Arial" w:cs="Arial"/>
          <w:b w:val="0"/>
          <w:bCs w:val="0"/>
          <w:caps/>
          <w:color w:val="000000" w:themeColor="text1"/>
        </w:rPr>
      </w:pPr>
      <w:r w:rsidRPr="007539CE">
        <w:rPr>
          <w:rFonts w:ascii="Arial" w:hAnsi="Arial" w:cs="Arial"/>
          <w:b w:val="0"/>
          <w:bCs w:val="0"/>
          <w:caps/>
          <w:color w:val="000000" w:themeColor="text1"/>
        </w:rPr>
        <w:t>KEY TAKEAWAYS</w:t>
      </w:r>
    </w:p>
    <w:p w:rsidR="007539CE" w:rsidRPr="007539CE" w:rsidRDefault="007539CE" w:rsidP="00C46849">
      <w:pPr>
        <w:numPr>
          <w:ilvl w:val="0"/>
          <w:numId w:val="9"/>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The capital market line (CML) represents portfolios that optimally combine risk and return.</w:t>
      </w:r>
    </w:p>
    <w:p w:rsidR="007539CE" w:rsidRPr="007539CE" w:rsidRDefault="007539CE" w:rsidP="00C46849">
      <w:pPr>
        <w:numPr>
          <w:ilvl w:val="0"/>
          <w:numId w:val="9"/>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 xml:space="preserve">CML is a special case of the CAL where the risk portfolio is the market portfolio. Thus, the slope of the CML is the </w:t>
      </w:r>
      <w:proofErr w:type="spellStart"/>
      <w:proofErr w:type="gramStart"/>
      <w:r w:rsidRPr="007539CE">
        <w:rPr>
          <w:rFonts w:ascii="Arial" w:hAnsi="Arial" w:cs="Arial"/>
          <w:color w:val="000000" w:themeColor="text1"/>
          <w:sz w:val="29"/>
          <w:szCs w:val="29"/>
        </w:rPr>
        <w:t>sharpe</w:t>
      </w:r>
      <w:proofErr w:type="spellEnd"/>
      <w:proofErr w:type="gramEnd"/>
      <w:r w:rsidRPr="007539CE">
        <w:rPr>
          <w:rFonts w:ascii="Arial" w:hAnsi="Arial" w:cs="Arial"/>
          <w:color w:val="000000" w:themeColor="text1"/>
          <w:sz w:val="29"/>
          <w:szCs w:val="29"/>
        </w:rPr>
        <w:t xml:space="preserve"> ratio of the market portfolio.</w:t>
      </w:r>
    </w:p>
    <w:p w:rsidR="007539CE" w:rsidRPr="007539CE" w:rsidRDefault="007539CE" w:rsidP="00C46849">
      <w:pPr>
        <w:numPr>
          <w:ilvl w:val="0"/>
          <w:numId w:val="9"/>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The intercept point of CML and efficient frontier would result in the most efficient portfolio called the tangency portfolio.</w:t>
      </w:r>
    </w:p>
    <w:p w:rsidR="007539CE" w:rsidRPr="007539CE" w:rsidRDefault="007539CE" w:rsidP="00C46849">
      <w:pPr>
        <w:numPr>
          <w:ilvl w:val="0"/>
          <w:numId w:val="9"/>
        </w:numPr>
        <w:spacing w:before="100" w:beforeAutospacing="1" w:after="0"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 xml:space="preserve">As a generalization, buy assets if </w:t>
      </w:r>
      <w:proofErr w:type="spellStart"/>
      <w:proofErr w:type="gramStart"/>
      <w:r w:rsidRPr="007539CE">
        <w:rPr>
          <w:rFonts w:ascii="Arial" w:hAnsi="Arial" w:cs="Arial"/>
          <w:color w:val="000000" w:themeColor="text1"/>
          <w:sz w:val="29"/>
          <w:szCs w:val="29"/>
        </w:rPr>
        <w:t>sharpe</w:t>
      </w:r>
      <w:proofErr w:type="spellEnd"/>
      <w:proofErr w:type="gramEnd"/>
      <w:r w:rsidRPr="007539CE">
        <w:rPr>
          <w:rFonts w:ascii="Arial" w:hAnsi="Arial" w:cs="Arial"/>
          <w:color w:val="000000" w:themeColor="text1"/>
          <w:sz w:val="29"/>
          <w:szCs w:val="29"/>
        </w:rPr>
        <w:t xml:space="preserve"> ratio is above CML and sell if </w:t>
      </w:r>
      <w:proofErr w:type="spellStart"/>
      <w:r w:rsidRPr="007539CE">
        <w:rPr>
          <w:rFonts w:ascii="Arial" w:hAnsi="Arial" w:cs="Arial"/>
          <w:color w:val="000000" w:themeColor="text1"/>
          <w:sz w:val="29"/>
          <w:szCs w:val="29"/>
        </w:rPr>
        <w:t>sharpe</w:t>
      </w:r>
      <w:proofErr w:type="spellEnd"/>
      <w:r w:rsidRPr="007539CE">
        <w:rPr>
          <w:rFonts w:ascii="Arial" w:hAnsi="Arial" w:cs="Arial"/>
          <w:color w:val="000000" w:themeColor="text1"/>
          <w:sz w:val="29"/>
          <w:szCs w:val="29"/>
        </w:rPr>
        <w:t xml:space="preserve"> ratio is below CML.</w:t>
      </w:r>
    </w:p>
    <w:p w:rsidR="007539CE" w:rsidRPr="007539CE" w:rsidRDefault="00CE34A8" w:rsidP="00C46849">
      <w:pPr>
        <w:spacing w:line="240" w:lineRule="auto"/>
        <w:jc w:val="both"/>
        <w:textAlignment w:val="baseline"/>
        <w:rPr>
          <w:rFonts w:ascii="Arial" w:hAnsi="Arial" w:cs="Arial"/>
          <w:color w:val="000000" w:themeColor="text1"/>
          <w:sz w:val="27"/>
          <w:szCs w:val="27"/>
        </w:rPr>
      </w:pPr>
      <w:r>
        <w:rPr>
          <w:rStyle w:val="jw-volume-update"/>
          <w:rFonts w:ascii="Arial" w:hAnsi="Arial" w:cs="Arial"/>
          <w:color w:val="000000" w:themeColor="text1"/>
          <w:sz w:val="27"/>
          <w:szCs w:val="27"/>
        </w:rPr>
        <w:t xml:space="preserve"> </w:t>
      </w:r>
    </w:p>
    <w:p w:rsidR="007539CE" w:rsidRPr="007539CE" w:rsidRDefault="007539CE" w:rsidP="00C46849">
      <w:pPr>
        <w:spacing w:line="240" w:lineRule="auto"/>
        <w:jc w:val="both"/>
        <w:textAlignment w:val="baseline"/>
        <w:rPr>
          <w:rFonts w:ascii="Arial" w:hAnsi="Arial" w:cs="Arial"/>
          <w:color w:val="000000" w:themeColor="text1"/>
          <w:sz w:val="24"/>
          <w:szCs w:val="24"/>
        </w:rPr>
      </w:pPr>
      <w:r w:rsidRPr="007539CE">
        <w:rPr>
          <w:rFonts w:ascii="Arial" w:hAnsi="Arial" w:cs="Arial"/>
          <w:color w:val="000000" w:themeColor="text1"/>
          <w:sz w:val="27"/>
          <w:szCs w:val="27"/>
        </w:rPr>
        <w:t> </w:t>
      </w:r>
      <w:r w:rsidRPr="007539CE">
        <w:rPr>
          <w:rFonts w:ascii="Arial" w:hAnsi="Arial" w:cs="Arial"/>
          <w:color w:val="000000" w:themeColor="text1"/>
        </w:rPr>
        <w:t>Capital Market Line</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Understanding the Capital Market Line (CML)</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lastRenderedPageBreak/>
        <w:t>Portfolios that fall on the capital market line (CML), in theory, optimize the risk/return relationship, thereby maximizing performance. The </w:t>
      </w:r>
      <w:hyperlink r:id="rId83" w:history="1">
        <w:r w:rsidRPr="007539CE">
          <w:rPr>
            <w:rStyle w:val="Hyperlink"/>
            <w:rFonts w:ascii="Arial" w:hAnsi="Arial" w:cs="Arial"/>
            <w:color w:val="000000" w:themeColor="text1"/>
            <w:sz w:val="29"/>
            <w:szCs w:val="29"/>
          </w:rPr>
          <w:t>capital allocation line</w:t>
        </w:r>
      </w:hyperlink>
      <w:r w:rsidRPr="007539CE">
        <w:rPr>
          <w:rFonts w:ascii="Arial" w:hAnsi="Arial" w:cs="Arial"/>
          <w:color w:val="000000" w:themeColor="text1"/>
          <w:sz w:val="29"/>
          <w:szCs w:val="29"/>
        </w:rPr>
        <w:t> (CAL) makes up the allotment of risk-free assets and risky portfolio for an investor. CML is a special case of the CAL where the risk portfolio is the market portfolio. Thus, the slope of the CML is the </w:t>
      </w:r>
      <w:proofErr w:type="spellStart"/>
      <w:r w:rsidRPr="007539CE">
        <w:rPr>
          <w:rFonts w:ascii="Arial" w:hAnsi="Arial" w:cs="Arial"/>
          <w:color w:val="000000" w:themeColor="text1"/>
          <w:sz w:val="29"/>
          <w:szCs w:val="29"/>
        </w:rPr>
        <w:fldChar w:fldCharType="begin"/>
      </w:r>
      <w:r w:rsidRPr="007539CE">
        <w:rPr>
          <w:rFonts w:ascii="Arial" w:hAnsi="Arial" w:cs="Arial"/>
          <w:color w:val="000000" w:themeColor="text1"/>
          <w:sz w:val="29"/>
          <w:szCs w:val="29"/>
        </w:rPr>
        <w:instrText xml:space="preserve"> HYPERLINK "https://www.investopedia.com/terms/s/sharperatio.asp" </w:instrText>
      </w:r>
      <w:r w:rsidRPr="007539CE">
        <w:rPr>
          <w:rFonts w:ascii="Arial" w:hAnsi="Arial" w:cs="Arial"/>
          <w:color w:val="000000" w:themeColor="text1"/>
          <w:sz w:val="29"/>
          <w:szCs w:val="29"/>
        </w:rPr>
        <w:fldChar w:fldCharType="separate"/>
      </w:r>
      <w:proofErr w:type="gramStart"/>
      <w:r w:rsidRPr="007539CE">
        <w:rPr>
          <w:rStyle w:val="Hyperlink"/>
          <w:rFonts w:ascii="Arial" w:hAnsi="Arial" w:cs="Arial"/>
          <w:color w:val="000000" w:themeColor="text1"/>
          <w:sz w:val="29"/>
          <w:szCs w:val="29"/>
        </w:rPr>
        <w:t>sharpe</w:t>
      </w:r>
      <w:proofErr w:type="spellEnd"/>
      <w:proofErr w:type="gramEnd"/>
      <w:r w:rsidRPr="007539CE">
        <w:rPr>
          <w:rStyle w:val="Hyperlink"/>
          <w:rFonts w:ascii="Arial" w:hAnsi="Arial" w:cs="Arial"/>
          <w:color w:val="000000" w:themeColor="text1"/>
          <w:sz w:val="29"/>
          <w:szCs w:val="29"/>
        </w:rPr>
        <w:t xml:space="preserve"> ratio</w:t>
      </w:r>
      <w:r w:rsidRPr="007539CE">
        <w:rPr>
          <w:rFonts w:ascii="Arial" w:hAnsi="Arial" w:cs="Arial"/>
          <w:color w:val="000000" w:themeColor="text1"/>
          <w:sz w:val="29"/>
          <w:szCs w:val="29"/>
        </w:rPr>
        <w:fldChar w:fldCharType="end"/>
      </w:r>
      <w:r w:rsidRPr="007539CE">
        <w:rPr>
          <w:rFonts w:ascii="Arial" w:hAnsi="Arial" w:cs="Arial"/>
          <w:color w:val="000000" w:themeColor="text1"/>
          <w:sz w:val="29"/>
          <w:szCs w:val="29"/>
        </w:rPr>
        <w:t xml:space="preserve"> of the market portfolio. As a generalization, buy assets if the </w:t>
      </w:r>
      <w:proofErr w:type="spellStart"/>
      <w:proofErr w:type="gramStart"/>
      <w:r w:rsidRPr="007539CE">
        <w:rPr>
          <w:rFonts w:ascii="Arial" w:hAnsi="Arial" w:cs="Arial"/>
          <w:color w:val="000000" w:themeColor="text1"/>
          <w:sz w:val="29"/>
          <w:szCs w:val="29"/>
        </w:rPr>
        <w:t>sharpe</w:t>
      </w:r>
      <w:proofErr w:type="spellEnd"/>
      <w:proofErr w:type="gramEnd"/>
      <w:r w:rsidRPr="007539CE">
        <w:rPr>
          <w:rFonts w:ascii="Arial" w:hAnsi="Arial" w:cs="Arial"/>
          <w:color w:val="000000" w:themeColor="text1"/>
          <w:sz w:val="29"/>
          <w:szCs w:val="29"/>
        </w:rPr>
        <w:t xml:space="preserve"> ratio is above the CML and sell if the </w:t>
      </w:r>
      <w:proofErr w:type="spellStart"/>
      <w:r w:rsidRPr="007539CE">
        <w:rPr>
          <w:rFonts w:ascii="Arial" w:hAnsi="Arial" w:cs="Arial"/>
          <w:color w:val="000000" w:themeColor="text1"/>
          <w:sz w:val="29"/>
          <w:szCs w:val="29"/>
        </w:rPr>
        <w:t>sharpe</w:t>
      </w:r>
      <w:proofErr w:type="spellEnd"/>
      <w:r w:rsidRPr="007539CE">
        <w:rPr>
          <w:rFonts w:ascii="Arial" w:hAnsi="Arial" w:cs="Arial"/>
          <w:color w:val="000000" w:themeColor="text1"/>
          <w:sz w:val="29"/>
          <w:szCs w:val="29"/>
        </w:rPr>
        <w:t xml:space="preserve"> ratio is below the CML.</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CML differs from the more popular </w:t>
      </w:r>
      <w:hyperlink r:id="rId84" w:history="1">
        <w:r w:rsidRPr="007539CE">
          <w:rPr>
            <w:rStyle w:val="Hyperlink"/>
            <w:rFonts w:ascii="Arial" w:hAnsi="Arial" w:cs="Arial"/>
            <w:color w:val="000000" w:themeColor="text1"/>
            <w:sz w:val="29"/>
            <w:szCs w:val="29"/>
          </w:rPr>
          <w:t>efficient frontier</w:t>
        </w:r>
      </w:hyperlink>
      <w:r w:rsidRPr="007539CE">
        <w:rPr>
          <w:rFonts w:ascii="Arial" w:hAnsi="Arial" w:cs="Arial"/>
          <w:color w:val="000000" w:themeColor="text1"/>
          <w:sz w:val="29"/>
          <w:szCs w:val="29"/>
        </w:rPr>
        <w:t> in that it includes risk-free investments. The intercept point of CML and efficient frontier would result in the most efficient portfolio, called the tangency portfolio.</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The </w:t>
      </w:r>
      <w:proofErr w:type="gramStart"/>
      <w:r w:rsidRPr="007539CE">
        <w:rPr>
          <w:rFonts w:ascii="Arial" w:hAnsi="Arial" w:cs="Arial"/>
          <w:color w:val="000000" w:themeColor="text1"/>
          <w:sz w:val="29"/>
          <w:szCs w:val="29"/>
        </w:rPr>
        <w:t>CAPM,</w:t>
      </w:r>
      <w:proofErr w:type="gramEnd"/>
      <w:r w:rsidRPr="007539CE">
        <w:rPr>
          <w:rFonts w:ascii="Arial" w:hAnsi="Arial" w:cs="Arial"/>
          <w:color w:val="000000" w:themeColor="text1"/>
          <w:sz w:val="29"/>
          <w:szCs w:val="29"/>
        </w:rPr>
        <w:t xml:space="preserve"> is the line that connects the risk-free rate of return with the tangency point on the efficient frontier of optimal portfolios that offer the highest expected return for a defined level of risk, or the lowest risk for a given level of expected return. The portfolios with the best trade-off between expected returns and variance (risk) lie on this line. The tangency point is the optimal portfolio of risky assets, known as the market portfolio. Under the assumptions of </w:t>
      </w:r>
      <w:hyperlink r:id="rId85" w:history="1">
        <w:r w:rsidRPr="007539CE">
          <w:rPr>
            <w:rStyle w:val="Hyperlink"/>
            <w:rFonts w:ascii="Arial" w:hAnsi="Arial" w:cs="Arial"/>
            <w:color w:val="000000" w:themeColor="text1"/>
            <w:sz w:val="29"/>
            <w:szCs w:val="29"/>
          </w:rPr>
          <w:t>mean-variance analysis</w:t>
        </w:r>
      </w:hyperlink>
      <w:r w:rsidRPr="007539CE">
        <w:rPr>
          <w:rFonts w:ascii="Arial" w:hAnsi="Arial" w:cs="Arial"/>
          <w:color w:val="000000" w:themeColor="text1"/>
          <w:sz w:val="29"/>
          <w:szCs w:val="29"/>
        </w:rPr>
        <w:t> – that investors seek to maximize their expected return for a given amount of variance risk, and that there is a risk-free rate of return – all investors will select portfolios which lie on the CML.</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According to Tobin's separation theorem, finding the market portfolio and the best combination of that market portfolio and the risk-free asset are separate problems. Individual investors will either hold just the risk-free asset or some combination of the risk-free asset and the market portfolio, depending on their risk-aversion. As an investor moves up the CML, the overall portfolio risk and return increases. Risk </w:t>
      </w:r>
      <w:proofErr w:type="gramStart"/>
      <w:r w:rsidRPr="007539CE">
        <w:rPr>
          <w:rFonts w:ascii="Arial" w:hAnsi="Arial" w:cs="Arial"/>
          <w:color w:val="000000" w:themeColor="text1"/>
          <w:sz w:val="29"/>
          <w:szCs w:val="29"/>
        </w:rPr>
        <w:t>averse</w:t>
      </w:r>
      <w:proofErr w:type="gramEnd"/>
      <w:r w:rsidRPr="007539CE">
        <w:rPr>
          <w:rFonts w:ascii="Arial" w:hAnsi="Arial" w:cs="Arial"/>
          <w:color w:val="000000" w:themeColor="text1"/>
          <w:sz w:val="29"/>
          <w:szCs w:val="29"/>
        </w:rPr>
        <w:t xml:space="preserve"> investors will select portfolios close to the risk-free asset, preferring low variance to higher returns. Less risk </w:t>
      </w:r>
      <w:proofErr w:type="gramStart"/>
      <w:r w:rsidRPr="007539CE">
        <w:rPr>
          <w:rFonts w:ascii="Arial" w:hAnsi="Arial" w:cs="Arial"/>
          <w:color w:val="000000" w:themeColor="text1"/>
          <w:sz w:val="29"/>
          <w:szCs w:val="29"/>
        </w:rPr>
        <w:t>averse</w:t>
      </w:r>
      <w:proofErr w:type="gramEnd"/>
      <w:r w:rsidRPr="007539CE">
        <w:rPr>
          <w:rFonts w:ascii="Arial" w:hAnsi="Arial" w:cs="Arial"/>
          <w:color w:val="000000" w:themeColor="text1"/>
          <w:sz w:val="29"/>
          <w:szCs w:val="29"/>
        </w:rPr>
        <w:t xml:space="preserve"> investors will prefer portfolios higher up on the CML, with a higher expected return, but more variance. By borrowing funds at the risk-free rate, they can also invest more than 100% of their investable funds in the risky market portfolio, increasing both the expected return and the risk beyond that offered by the market portfolio.</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The Capital Market Line Equation</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Style w:val="katex-mathml"/>
          <w:color w:val="000000" w:themeColor="text1"/>
          <w:sz w:val="35"/>
          <w:szCs w:val="35"/>
          <w:bdr w:val="none" w:sz="0" w:space="0" w:color="auto" w:frame="1"/>
        </w:rPr>
        <w:lastRenderedPageBreak/>
        <w:t>\begin{aligned} &amp;</w:t>
      </w:r>
      <w:proofErr w:type="spellStart"/>
      <w:r w:rsidRPr="007539CE">
        <w:rPr>
          <w:rStyle w:val="katex-mathml"/>
          <w:color w:val="000000" w:themeColor="text1"/>
          <w:sz w:val="35"/>
          <w:szCs w:val="35"/>
          <w:bdr w:val="none" w:sz="0" w:space="0" w:color="auto" w:frame="1"/>
        </w:rPr>
        <w:t>R_p</w:t>
      </w:r>
      <w:proofErr w:type="spellEnd"/>
      <w:r w:rsidRPr="007539CE">
        <w:rPr>
          <w:rStyle w:val="katex-mathml"/>
          <w:color w:val="000000" w:themeColor="text1"/>
          <w:sz w:val="35"/>
          <w:szCs w:val="35"/>
          <w:bdr w:val="none" w:sz="0" w:space="0" w:color="auto" w:frame="1"/>
        </w:rPr>
        <w:t xml:space="preserve"> = </w:t>
      </w:r>
      <w:proofErr w:type="spellStart"/>
      <w:r w:rsidRPr="007539CE">
        <w:rPr>
          <w:rStyle w:val="katex-mathml"/>
          <w:color w:val="000000" w:themeColor="text1"/>
          <w:sz w:val="35"/>
          <w:szCs w:val="35"/>
          <w:bdr w:val="none" w:sz="0" w:space="0" w:color="auto" w:frame="1"/>
        </w:rPr>
        <w:t>r_f</w:t>
      </w:r>
      <w:proofErr w:type="spellEnd"/>
      <w:r w:rsidRPr="007539CE">
        <w:rPr>
          <w:rStyle w:val="katex-mathml"/>
          <w:color w:val="000000" w:themeColor="text1"/>
          <w:sz w:val="35"/>
          <w:szCs w:val="35"/>
          <w:bdr w:val="none" w:sz="0" w:space="0" w:color="auto" w:frame="1"/>
        </w:rPr>
        <w:t xml:space="preserve"> + \</w:t>
      </w:r>
      <w:proofErr w:type="spellStart"/>
      <w:r w:rsidRPr="007539CE">
        <w:rPr>
          <w:rStyle w:val="katex-mathml"/>
          <w:color w:val="000000" w:themeColor="text1"/>
          <w:sz w:val="35"/>
          <w:szCs w:val="35"/>
          <w:bdr w:val="none" w:sz="0" w:space="0" w:color="auto" w:frame="1"/>
        </w:rPr>
        <w:t>frac</w:t>
      </w:r>
      <w:proofErr w:type="spellEnd"/>
      <w:r w:rsidRPr="007539CE">
        <w:rPr>
          <w:rStyle w:val="katex-mathml"/>
          <w:color w:val="000000" w:themeColor="text1"/>
          <w:sz w:val="35"/>
          <w:szCs w:val="35"/>
          <w:bdr w:val="none" w:sz="0" w:space="0" w:color="auto" w:frame="1"/>
        </w:rPr>
        <w:t xml:space="preserve"> { R_T - </w:t>
      </w:r>
      <w:proofErr w:type="spellStart"/>
      <w:r w:rsidRPr="007539CE">
        <w:rPr>
          <w:rStyle w:val="katex-mathml"/>
          <w:color w:val="000000" w:themeColor="text1"/>
          <w:sz w:val="35"/>
          <w:szCs w:val="35"/>
          <w:bdr w:val="none" w:sz="0" w:space="0" w:color="auto" w:frame="1"/>
        </w:rPr>
        <w:t>r_f</w:t>
      </w:r>
      <w:proofErr w:type="spellEnd"/>
      <w:r w:rsidRPr="007539CE">
        <w:rPr>
          <w:rStyle w:val="katex-mathml"/>
          <w:color w:val="000000" w:themeColor="text1"/>
          <w:sz w:val="35"/>
          <w:szCs w:val="35"/>
          <w:bdr w:val="none" w:sz="0" w:space="0" w:color="auto" w:frame="1"/>
        </w:rPr>
        <w:t xml:space="preserve"> }{ \</w:t>
      </w:r>
      <w:proofErr w:type="spellStart"/>
      <w:r w:rsidRPr="007539CE">
        <w:rPr>
          <w:rStyle w:val="katex-mathml"/>
          <w:color w:val="000000" w:themeColor="text1"/>
          <w:sz w:val="35"/>
          <w:szCs w:val="35"/>
          <w:bdr w:val="none" w:sz="0" w:space="0" w:color="auto" w:frame="1"/>
        </w:rPr>
        <w:t>sigma_T</w:t>
      </w:r>
      <w:proofErr w:type="spellEnd"/>
      <w:r w:rsidRPr="007539CE">
        <w:rPr>
          <w:rStyle w:val="katex-mathml"/>
          <w:color w:val="000000" w:themeColor="text1"/>
          <w:sz w:val="35"/>
          <w:szCs w:val="35"/>
          <w:bdr w:val="none" w:sz="0" w:space="0" w:color="auto" w:frame="1"/>
        </w:rPr>
        <w:t xml:space="preserve"> } \</w:t>
      </w:r>
      <w:proofErr w:type="spellStart"/>
      <w:r w:rsidRPr="007539CE">
        <w:rPr>
          <w:rStyle w:val="katex-mathml"/>
          <w:color w:val="000000" w:themeColor="text1"/>
          <w:sz w:val="35"/>
          <w:szCs w:val="35"/>
          <w:bdr w:val="none" w:sz="0" w:space="0" w:color="auto" w:frame="1"/>
        </w:rPr>
        <w:t>sigma_p</w:t>
      </w:r>
      <w:proofErr w:type="spellEnd"/>
      <w:r w:rsidRPr="007539CE">
        <w:rPr>
          <w:rStyle w:val="katex-mathml"/>
          <w:color w:val="000000" w:themeColor="text1"/>
          <w:sz w:val="35"/>
          <w:szCs w:val="35"/>
          <w:bdr w:val="none" w:sz="0" w:space="0" w:color="auto" w:frame="1"/>
        </w:rPr>
        <w:t xml:space="preserve"> \\ &amp;\</w:t>
      </w:r>
      <w:proofErr w:type="spellStart"/>
      <w:r w:rsidRPr="007539CE">
        <w:rPr>
          <w:rStyle w:val="katex-mathml"/>
          <w:color w:val="000000" w:themeColor="text1"/>
          <w:sz w:val="35"/>
          <w:szCs w:val="35"/>
          <w:bdr w:val="none" w:sz="0" w:space="0" w:color="auto" w:frame="1"/>
        </w:rPr>
        <w:t>textbf</w:t>
      </w:r>
      <w:proofErr w:type="spellEnd"/>
      <w:r w:rsidRPr="007539CE">
        <w:rPr>
          <w:rStyle w:val="katex-mathml"/>
          <w:color w:val="000000" w:themeColor="text1"/>
          <w:sz w:val="35"/>
          <w:szCs w:val="35"/>
          <w:bdr w:val="none" w:sz="0" w:space="0" w:color="auto" w:frame="1"/>
        </w:rPr>
        <w:t>{where:} \\ &amp;</w:t>
      </w:r>
      <w:proofErr w:type="spellStart"/>
      <w:r w:rsidRPr="007539CE">
        <w:rPr>
          <w:rStyle w:val="katex-mathml"/>
          <w:color w:val="000000" w:themeColor="text1"/>
          <w:sz w:val="35"/>
          <w:szCs w:val="35"/>
          <w:bdr w:val="none" w:sz="0" w:space="0" w:color="auto" w:frame="1"/>
        </w:rPr>
        <w:t>R_p</w:t>
      </w:r>
      <w:proofErr w:type="spellEnd"/>
      <w:r w:rsidRPr="007539CE">
        <w:rPr>
          <w:rStyle w:val="katex-mathml"/>
          <w:color w:val="000000" w:themeColor="text1"/>
          <w:sz w:val="35"/>
          <w:szCs w:val="35"/>
          <w:bdr w:val="none" w:sz="0" w:space="0" w:color="auto" w:frame="1"/>
        </w:rPr>
        <w:t xml:space="preserve"> = \text{portfolio return} \\ &amp;</w:t>
      </w:r>
      <w:proofErr w:type="spellStart"/>
      <w:r w:rsidRPr="007539CE">
        <w:rPr>
          <w:rStyle w:val="katex-mathml"/>
          <w:color w:val="000000" w:themeColor="text1"/>
          <w:sz w:val="35"/>
          <w:szCs w:val="35"/>
          <w:bdr w:val="none" w:sz="0" w:space="0" w:color="auto" w:frame="1"/>
        </w:rPr>
        <w:t>r_f</w:t>
      </w:r>
      <w:proofErr w:type="spellEnd"/>
      <w:r w:rsidRPr="007539CE">
        <w:rPr>
          <w:rStyle w:val="katex-mathml"/>
          <w:color w:val="000000" w:themeColor="text1"/>
          <w:sz w:val="35"/>
          <w:szCs w:val="35"/>
          <w:bdr w:val="none" w:sz="0" w:space="0" w:color="auto" w:frame="1"/>
        </w:rPr>
        <w:t xml:space="preserve"> = \text{risk free rate} \\ &amp;R_T = \text{market return} \\ &amp;\</w:t>
      </w:r>
      <w:proofErr w:type="spellStart"/>
      <w:r w:rsidRPr="007539CE">
        <w:rPr>
          <w:rStyle w:val="katex-mathml"/>
          <w:color w:val="000000" w:themeColor="text1"/>
          <w:sz w:val="35"/>
          <w:szCs w:val="35"/>
          <w:bdr w:val="none" w:sz="0" w:space="0" w:color="auto" w:frame="1"/>
        </w:rPr>
        <w:t>sigma_T</w:t>
      </w:r>
      <w:proofErr w:type="spellEnd"/>
      <w:r w:rsidRPr="007539CE">
        <w:rPr>
          <w:rStyle w:val="katex-mathml"/>
          <w:color w:val="000000" w:themeColor="text1"/>
          <w:sz w:val="35"/>
          <w:szCs w:val="35"/>
          <w:bdr w:val="none" w:sz="0" w:space="0" w:color="auto" w:frame="1"/>
        </w:rPr>
        <w:t xml:space="preserve"> = \text{standard deviation of market returns} \\ &amp;\</w:t>
      </w:r>
      <w:proofErr w:type="spellStart"/>
      <w:r w:rsidRPr="007539CE">
        <w:rPr>
          <w:rStyle w:val="katex-mathml"/>
          <w:color w:val="000000" w:themeColor="text1"/>
          <w:sz w:val="35"/>
          <w:szCs w:val="35"/>
          <w:bdr w:val="none" w:sz="0" w:space="0" w:color="auto" w:frame="1"/>
        </w:rPr>
        <w:t>sigma_p</w:t>
      </w:r>
      <w:proofErr w:type="spellEnd"/>
      <w:r w:rsidRPr="007539CE">
        <w:rPr>
          <w:rStyle w:val="katex-mathml"/>
          <w:color w:val="000000" w:themeColor="text1"/>
          <w:sz w:val="35"/>
          <w:szCs w:val="35"/>
          <w:bdr w:val="none" w:sz="0" w:space="0" w:color="auto" w:frame="1"/>
        </w:rPr>
        <w:t xml:space="preserve"> = \text{standard deviation of portfolio returns} \\ \end{aligned}</w:t>
      </w:r>
      <w:r w:rsidRPr="007539CE">
        <w:rPr>
          <w:rStyle w:val="vlist-s"/>
          <w:color w:val="000000" w:themeColor="text1"/>
          <w:sz w:val="2"/>
          <w:szCs w:val="2"/>
        </w:rPr>
        <w:t>​</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p</w:t>
      </w:r>
      <w:r w:rsidRPr="007539CE">
        <w:rPr>
          <w:rStyle w:val="vlist-s"/>
          <w:color w:val="000000" w:themeColor="text1"/>
          <w:sz w:val="2"/>
          <w:szCs w:val="2"/>
        </w:rPr>
        <w:t>​</w:t>
      </w:r>
      <w:r w:rsidRPr="007539CE">
        <w:rPr>
          <w:rStyle w:val="mrel"/>
          <w:color w:val="000000" w:themeColor="text1"/>
          <w:sz w:val="35"/>
          <w:szCs w:val="35"/>
        </w:rPr>
        <w:t>=</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f</w:t>
      </w:r>
      <w:r w:rsidRPr="007539CE">
        <w:rPr>
          <w:rStyle w:val="vlist-s"/>
          <w:color w:val="000000" w:themeColor="text1"/>
          <w:sz w:val="2"/>
          <w:szCs w:val="2"/>
        </w:rPr>
        <w:t>​</w:t>
      </w:r>
      <w:r w:rsidRPr="007539CE">
        <w:rPr>
          <w:rStyle w:val="mbin"/>
          <w:color w:val="000000" w:themeColor="text1"/>
          <w:sz w:val="35"/>
          <w:szCs w:val="35"/>
        </w:rPr>
        <w:t>+</w:t>
      </w:r>
      <w:r w:rsidRPr="007539CE">
        <w:rPr>
          <w:rStyle w:val="mord"/>
          <w:rFonts w:ascii="KaTeX_Math" w:hAnsi="KaTeX_Math"/>
          <w:i/>
          <w:iCs/>
          <w:color w:val="000000" w:themeColor="text1"/>
          <w:sz w:val="35"/>
          <w:szCs w:val="35"/>
        </w:rPr>
        <w:t>σ</w:t>
      </w:r>
      <w:r w:rsidRPr="007539CE">
        <w:rPr>
          <w:rStyle w:val="mord"/>
          <w:rFonts w:ascii="KaTeX_Math" w:hAnsi="KaTeX_Math"/>
          <w:i/>
          <w:iCs/>
          <w:color w:val="000000" w:themeColor="text1"/>
          <w:sz w:val="25"/>
          <w:szCs w:val="25"/>
        </w:rPr>
        <w:t>T</w:t>
      </w:r>
      <w:r w:rsidRPr="007539CE">
        <w:rPr>
          <w:rStyle w:val="vlist-s"/>
          <w:color w:val="000000" w:themeColor="text1"/>
          <w:sz w:val="2"/>
          <w:szCs w:val="2"/>
        </w:rPr>
        <w:t>​</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T</w:t>
      </w:r>
      <w:r w:rsidRPr="007539CE">
        <w:rPr>
          <w:rStyle w:val="vlist-s"/>
          <w:color w:val="000000" w:themeColor="text1"/>
          <w:sz w:val="2"/>
          <w:szCs w:val="2"/>
        </w:rPr>
        <w:t>​</w:t>
      </w:r>
      <w:r w:rsidRPr="007539CE">
        <w:rPr>
          <w:rStyle w:val="mbin"/>
          <w:color w:val="000000" w:themeColor="text1"/>
          <w:sz w:val="35"/>
          <w:szCs w:val="35"/>
        </w:rPr>
        <w:t>−</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f</w:t>
      </w:r>
      <w:r w:rsidRPr="007539CE">
        <w:rPr>
          <w:rStyle w:val="vlist-s"/>
          <w:color w:val="000000" w:themeColor="text1"/>
          <w:sz w:val="2"/>
          <w:szCs w:val="2"/>
        </w:rPr>
        <w:t>​​</w:t>
      </w:r>
      <w:r w:rsidRPr="007539CE">
        <w:rPr>
          <w:rStyle w:val="mord"/>
          <w:rFonts w:ascii="KaTeX_Math" w:hAnsi="KaTeX_Math"/>
          <w:i/>
          <w:iCs/>
          <w:color w:val="000000" w:themeColor="text1"/>
          <w:sz w:val="35"/>
          <w:szCs w:val="35"/>
        </w:rPr>
        <w:t>σ</w:t>
      </w:r>
      <w:r w:rsidRPr="007539CE">
        <w:rPr>
          <w:rStyle w:val="mord"/>
          <w:rFonts w:ascii="KaTeX_Math" w:hAnsi="KaTeX_Math"/>
          <w:i/>
          <w:iCs/>
          <w:color w:val="000000" w:themeColor="text1"/>
          <w:sz w:val="25"/>
          <w:szCs w:val="25"/>
        </w:rPr>
        <w:t>p</w:t>
      </w:r>
      <w:r w:rsidRPr="007539CE">
        <w:rPr>
          <w:rStyle w:val="vlist-s"/>
          <w:color w:val="000000" w:themeColor="text1"/>
          <w:sz w:val="2"/>
          <w:szCs w:val="2"/>
        </w:rPr>
        <w:t>​</w:t>
      </w:r>
      <w:r w:rsidRPr="007539CE">
        <w:rPr>
          <w:rStyle w:val="mord"/>
          <w:b/>
          <w:bCs/>
          <w:color w:val="000000" w:themeColor="text1"/>
          <w:sz w:val="35"/>
          <w:szCs w:val="35"/>
        </w:rPr>
        <w:t>where:</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p</w:t>
      </w:r>
      <w:r w:rsidRPr="007539CE">
        <w:rPr>
          <w:rStyle w:val="vlist-s"/>
          <w:color w:val="000000" w:themeColor="text1"/>
          <w:sz w:val="2"/>
          <w:szCs w:val="2"/>
        </w:rPr>
        <w:t>​</w:t>
      </w:r>
      <w:r w:rsidRPr="007539CE">
        <w:rPr>
          <w:rStyle w:val="mrel"/>
          <w:color w:val="000000" w:themeColor="text1"/>
          <w:sz w:val="35"/>
          <w:szCs w:val="35"/>
        </w:rPr>
        <w:t>=</w:t>
      </w:r>
      <w:r w:rsidRPr="007539CE">
        <w:rPr>
          <w:rStyle w:val="mord"/>
          <w:color w:val="000000" w:themeColor="text1"/>
          <w:sz w:val="35"/>
          <w:szCs w:val="35"/>
        </w:rPr>
        <w:t>portfolio return</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f</w:t>
      </w:r>
      <w:r w:rsidRPr="007539CE">
        <w:rPr>
          <w:rStyle w:val="vlist-s"/>
          <w:color w:val="000000" w:themeColor="text1"/>
          <w:sz w:val="2"/>
          <w:szCs w:val="2"/>
        </w:rPr>
        <w:t>​</w:t>
      </w:r>
      <w:r w:rsidRPr="007539CE">
        <w:rPr>
          <w:rStyle w:val="mrel"/>
          <w:color w:val="000000" w:themeColor="text1"/>
          <w:sz w:val="35"/>
          <w:szCs w:val="35"/>
        </w:rPr>
        <w:t>=</w:t>
      </w:r>
      <w:r w:rsidRPr="007539CE">
        <w:rPr>
          <w:rStyle w:val="mord"/>
          <w:color w:val="000000" w:themeColor="text1"/>
          <w:sz w:val="35"/>
          <w:szCs w:val="35"/>
        </w:rPr>
        <w:t>risk free rate</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T</w:t>
      </w:r>
      <w:r w:rsidRPr="007539CE">
        <w:rPr>
          <w:rStyle w:val="vlist-s"/>
          <w:color w:val="000000" w:themeColor="text1"/>
          <w:sz w:val="2"/>
          <w:szCs w:val="2"/>
        </w:rPr>
        <w:t>​</w:t>
      </w:r>
      <w:r w:rsidRPr="007539CE">
        <w:rPr>
          <w:rStyle w:val="mrel"/>
          <w:color w:val="000000" w:themeColor="text1"/>
          <w:sz w:val="35"/>
          <w:szCs w:val="35"/>
        </w:rPr>
        <w:t>=</w:t>
      </w:r>
      <w:r w:rsidRPr="007539CE">
        <w:rPr>
          <w:rStyle w:val="mord"/>
          <w:color w:val="000000" w:themeColor="text1"/>
          <w:sz w:val="35"/>
          <w:szCs w:val="35"/>
        </w:rPr>
        <w:t>market return</w:t>
      </w:r>
      <w:r w:rsidRPr="007539CE">
        <w:rPr>
          <w:rStyle w:val="mord"/>
          <w:rFonts w:ascii="KaTeX_Math" w:hAnsi="KaTeX_Math"/>
          <w:i/>
          <w:iCs/>
          <w:color w:val="000000" w:themeColor="text1"/>
          <w:sz w:val="35"/>
          <w:szCs w:val="35"/>
        </w:rPr>
        <w:t>σ</w:t>
      </w:r>
      <w:r w:rsidRPr="007539CE">
        <w:rPr>
          <w:rStyle w:val="mord"/>
          <w:rFonts w:ascii="KaTeX_Math" w:hAnsi="KaTeX_Math"/>
          <w:i/>
          <w:iCs/>
          <w:color w:val="000000" w:themeColor="text1"/>
          <w:sz w:val="25"/>
          <w:szCs w:val="25"/>
        </w:rPr>
        <w:t>T</w:t>
      </w:r>
      <w:r w:rsidRPr="007539CE">
        <w:rPr>
          <w:rStyle w:val="vlist-s"/>
          <w:color w:val="000000" w:themeColor="text1"/>
          <w:sz w:val="2"/>
          <w:szCs w:val="2"/>
        </w:rPr>
        <w:t>​</w:t>
      </w:r>
      <w:r w:rsidRPr="007539CE">
        <w:rPr>
          <w:rStyle w:val="mrel"/>
          <w:color w:val="000000" w:themeColor="text1"/>
          <w:sz w:val="35"/>
          <w:szCs w:val="35"/>
        </w:rPr>
        <w:t>=</w:t>
      </w:r>
      <w:r w:rsidRPr="007539CE">
        <w:rPr>
          <w:rStyle w:val="mord"/>
          <w:color w:val="000000" w:themeColor="text1"/>
          <w:sz w:val="35"/>
          <w:szCs w:val="35"/>
        </w:rPr>
        <w:t>standard deviation of market returns</w:t>
      </w:r>
      <w:r w:rsidRPr="007539CE">
        <w:rPr>
          <w:rStyle w:val="mord"/>
          <w:rFonts w:ascii="KaTeX_Math" w:hAnsi="KaTeX_Math"/>
          <w:i/>
          <w:iCs/>
          <w:color w:val="000000" w:themeColor="text1"/>
          <w:sz w:val="35"/>
          <w:szCs w:val="35"/>
        </w:rPr>
        <w:t>σ</w:t>
      </w:r>
      <w:r w:rsidRPr="007539CE">
        <w:rPr>
          <w:rStyle w:val="mord"/>
          <w:rFonts w:ascii="KaTeX_Math" w:hAnsi="KaTeX_Math"/>
          <w:i/>
          <w:iCs/>
          <w:color w:val="000000" w:themeColor="text1"/>
          <w:sz w:val="25"/>
          <w:szCs w:val="25"/>
        </w:rPr>
        <w:t>p</w:t>
      </w:r>
      <w:r w:rsidRPr="007539CE">
        <w:rPr>
          <w:rStyle w:val="vlist-s"/>
          <w:color w:val="000000" w:themeColor="text1"/>
          <w:sz w:val="2"/>
          <w:szCs w:val="2"/>
        </w:rPr>
        <w:t>​</w:t>
      </w:r>
      <w:r w:rsidRPr="007539CE">
        <w:rPr>
          <w:rStyle w:val="mrel"/>
          <w:color w:val="000000" w:themeColor="text1"/>
          <w:sz w:val="35"/>
          <w:szCs w:val="35"/>
        </w:rPr>
        <w:t>=</w:t>
      </w:r>
      <w:r w:rsidRPr="007539CE">
        <w:rPr>
          <w:rStyle w:val="mord"/>
          <w:color w:val="000000" w:themeColor="text1"/>
          <w:sz w:val="35"/>
          <w:szCs w:val="35"/>
        </w:rPr>
        <w:t>standard deviation of portfolio returns</w:t>
      </w:r>
      <w:r w:rsidRPr="007539CE">
        <w:rPr>
          <w:rStyle w:val="vlist-s"/>
          <w:color w:val="000000" w:themeColor="text1"/>
          <w:sz w:val="2"/>
          <w:szCs w:val="2"/>
        </w:rPr>
        <w:t>​</w:t>
      </w:r>
      <w:r w:rsidRPr="007539CE">
        <w:rPr>
          <w:rFonts w:ascii="Arial" w:hAnsi="Arial" w:cs="Arial"/>
          <w:color w:val="000000" w:themeColor="text1"/>
          <w:sz w:val="29"/>
          <w:szCs w:val="29"/>
        </w:rPr>
        <w:t>﻿</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The Capital Market Line and the Security Market Line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CML is sometimes confused with the </w:t>
      </w:r>
      <w:hyperlink r:id="rId86" w:history="1">
        <w:r w:rsidRPr="007539CE">
          <w:rPr>
            <w:rStyle w:val="Hyperlink"/>
            <w:rFonts w:ascii="Arial" w:hAnsi="Arial" w:cs="Arial"/>
            <w:color w:val="000000" w:themeColor="text1"/>
            <w:sz w:val="29"/>
            <w:szCs w:val="29"/>
          </w:rPr>
          <w:t>security market line</w:t>
        </w:r>
      </w:hyperlink>
      <w:r w:rsidRPr="007539CE">
        <w:rPr>
          <w:rFonts w:ascii="Arial" w:hAnsi="Arial" w:cs="Arial"/>
          <w:color w:val="000000" w:themeColor="text1"/>
          <w:sz w:val="29"/>
          <w:szCs w:val="29"/>
        </w:rPr>
        <w:t> (SML). The SML is derived from the CML. While the CML shows the rates of return for a specific portfolio, the SML represents the market’s risk and return at a given time, and shows the expected returns of individual assets. And while the measure of risk in the CML is the standard deviation of returns (total risk), the risk measure in the SML is </w:t>
      </w:r>
      <w:hyperlink r:id="rId87" w:history="1">
        <w:r w:rsidRPr="007539CE">
          <w:rPr>
            <w:rStyle w:val="Hyperlink"/>
            <w:rFonts w:ascii="Arial" w:hAnsi="Arial" w:cs="Arial"/>
            <w:color w:val="000000" w:themeColor="text1"/>
            <w:sz w:val="29"/>
            <w:szCs w:val="29"/>
          </w:rPr>
          <w:t>systematic risk</w:t>
        </w:r>
      </w:hyperlink>
      <w:r w:rsidRPr="007539CE">
        <w:rPr>
          <w:rFonts w:ascii="Arial" w:hAnsi="Arial" w:cs="Arial"/>
          <w:color w:val="000000" w:themeColor="text1"/>
          <w:sz w:val="29"/>
          <w:szCs w:val="29"/>
        </w:rPr>
        <w:t>, or </w:t>
      </w:r>
      <w:hyperlink r:id="rId88" w:history="1">
        <w:r w:rsidRPr="007539CE">
          <w:rPr>
            <w:rStyle w:val="Hyperlink"/>
            <w:rFonts w:ascii="Arial" w:hAnsi="Arial" w:cs="Arial"/>
            <w:color w:val="000000" w:themeColor="text1"/>
            <w:sz w:val="29"/>
            <w:szCs w:val="29"/>
          </w:rPr>
          <w:t>beta</w:t>
        </w:r>
      </w:hyperlink>
      <w:r w:rsidRPr="007539CE">
        <w:rPr>
          <w:rFonts w:ascii="Arial" w:hAnsi="Arial" w:cs="Arial"/>
          <w:color w:val="000000" w:themeColor="text1"/>
          <w:sz w:val="29"/>
          <w:szCs w:val="29"/>
        </w:rPr>
        <w:t>. Securities that are fairly priced will plot on the CML and the SML. Securities that plot above the CML or the SML are generating returns that are too high for the given risk and are underpriced. Securities that plot below CML or the SML are generating returns that are too low for the given risk and are overpriced.</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History of the Capital Market Line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Mean-variance analysis was pioneered by Harry Markowitz and </w:t>
      </w:r>
      <w:hyperlink r:id="rId89" w:history="1">
        <w:r w:rsidRPr="007539CE">
          <w:rPr>
            <w:rStyle w:val="Hyperlink"/>
            <w:rFonts w:ascii="Arial" w:hAnsi="Arial" w:cs="Arial"/>
            <w:color w:val="000000" w:themeColor="text1"/>
            <w:sz w:val="29"/>
            <w:szCs w:val="29"/>
          </w:rPr>
          <w:t>James Tobin</w:t>
        </w:r>
      </w:hyperlink>
      <w:r w:rsidRPr="007539CE">
        <w:rPr>
          <w:rFonts w:ascii="Arial" w:hAnsi="Arial" w:cs="Arial"/>
          <w:color w:val="000000" w:themeColor="text1"/>
          <w:sz w:val="29"/>
          <w:szCs w:val="29"/>
        </w:rPr>
        <w:t>. The efficient frontier of optimal portfolios was identified by Markowitz in 1952, and James Tobin included the risk-free rate to </w:t>
      </w:r>
      <w:hyperlink r:id="rId90" w:history="1">
        <w:r w:rsidRPr="007539CE">
          <w:rPr>
            <w:rStyle w:val="Hyperlink"/>
            <w:rFonts w:ascii="Arial" w:hAnsi="Arial" w:cs="Arial"/>
            <w:color w:val="000000" w:themeColor="text1"/>
            <w:sz w:val="29"/>
            <w:szCs w:val="29"/>
          </w:rPr>
          <w:t>modern portfolio theory</w:t>
        </w:r>
      </w:hyperlink>
      <w:r w:rsidRPr="007539CE">
        <w:rPr>
          <w:rFonts w:ascii="Arial" w:hAnsi="Arial" w:cs="Arial"/>
          <w:color w:val="000000" w:themeColor="text1"/>
          <w:sz w:val="29"/>
          <w:szCs w:val="29"/>
        </w:rPr>
        <w:t> in 1958.</w:t>
      </w:r>
      <w:r w:rsidRPr="007539CE">
        <w:rPr>
          <w:rStyle w:val="mntl-inline-citation"/>
          <w:rFonts w:ascii="Arial" w:hAnsi="Arial" w:cs="Arial"/>
          <w:color w:val="000000" w:themeColor="text1"/>
          <w:spacing w:val="17"/>
          <w:sz w:val="22"/>
          <w:szCs w:val="22"/>
          <w:vertAlign w:val="superscript"/>
        </w:rPr>
        <w:t>1</w:t>
      </w:r>
      <w:proofErr w:type="gramStart"/>
      <w:r w:rsidRPr="007539CE">
        <w:rPr>
          <w:rFonts w:ascii="Arial" w:hAnsi="Arial" w:cs="Arial"/>
          <w:color w:val="000000" w:themeColor="text1"/>
          <w:sz w:val="29"/>
          <w:szCs w:val="29"/>
        </w:rPr>
        <w:t>﻿ William</w:t>
      </w:r>
      <w:proofErr w:type="gramEnd"/>
      <w:r w:rsidRPr="007539CE">
        <w:rPr>
          <w:rFonts w:ascii="Arial" w:hAnsi="Arial" w:cs="Arial"/>
          <w:color w:val="000000" w:themeColor="text1"/>
          <w:sz w:val="29"/>
          <w:szCs w:val="29"/>
        </w:rPr>
        <w:t xml:space="preserve"> Sharpe then developed the CAPM in the 1960s, and won a Nobel prize for his work in 1990, along with Markowitz and Merton Miller.</w:t>
      </w:r>
    </w:p>
    <w:p w:rsidR="007539CE" w:rsidRPr="007539CE" w:rsidRDefault="007539CE" w:rsidP="00C46849">
      <w:pPr>
        <w:spacing w:line="240" w:lineRule="auto"/>
        <w:jc w:val="both"/>
        <w:rPr>
          <w:color w:val="000000" w:themeColor="text1"/>
        </w:rPr>
      </w:pPr>
      <w:hyperlink r:id="rId91" w:history="1">
        <w:r w:rsidRPr="007539CE">
          <w:rPr>
            <w:rStyle w:val="Hyperlink"/>
            <w:color w:val="000000" w:themeColor="text1"/>
          </w:rPr>
          <w:t>https://www.investopedia.com/articles/08/performance-measure.asp</w:t>
        </w:r>
      </w:hyperlink>
    </w:p>
    <w:p w:rsidR="007539CE" w:rsidRPr="007539CE" w:rsidRDefault="007539CE" w:rsidP="00C46849">
      <w:pPr>
        <w:pStyle w:val="Heading1"/>
        <w:spacing w:line="240" w:lineRule="auto"/>
        <w:jc w:val="both"/>
        <w:rPr>
          <w:b w:val="0"/>
          <w:bCs w:val="0"/>
          <w:color w:val="000000" w:themeColor="text1"/>
        </w:rPr>
      </w:pPr>
      <w:r w:rsidRPr="007539CE">
        <w:rPr>
          <w:b w:val="0"/>
          <w:bCs w:val="0"/>
          <w:color w:val="000000" w:themeColor="text1"/>
        </w:rPr>
        <w:t>Measuring Portfolio Performance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Many investors mistakenly base the success of their portfolios on returns alone. Few investors consider the risk involved in achieving those returns. Since the 1960s, investors have known how to quantify and measure risk with the variability of returns, but no single measure </w:t>
      </w:r>
      <w:r w:rsidRPr="007539CE">
        <w:rPr>
          <w:rFonts w:ascii="Arial" w:hAnsi="Arial" w:cs="Arial"/>
          <w:color w:val="000000" w:themeColor="text1"/>
          <w:sz w:val="29"/>
          <w:szCs w:val="29"/>
        </w:rPr>
        <w:lastRenderedPageBreak/>
        <w:t>actually looked at both risk and return together. Today, there are three sets of performance measurement tools to assist with portfolio evaluations.</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w:t>
      </w:r>
      <w:proofErr w:type="spellStart"/>
      <w:r w:rsidRPr="007539CE">
        <w:rPr>
          <w:rFonts w:ascii="Arial" w:hAnsi="Arial" w:cs="Arial"/>
          <w:color w:val="000000" w:themeColor="text1"/>
          <w:sz w:val="29"/>
          <w:szCs w:val="29"/>
        </w:rPr>
        <w:fldChar w:fldCharType="begin"/>
      </w:r>
      <w:r w:rsidRPr="007539CE">
        <w:rPr>
          <w:rFonts w:ascii="Arial" w:hAnsi="Arial" w:cs="Arial"/>
          <w:color w:val="000000" w:themeColor="text1"/>
          <w:sz w:val="29"/>
          <w:szCs w:val="29"/>
        </w:rPr>
        <w:instrText xml:space="preserve"> HYPERLINK "https://www.investopedia.com/terms/t/treynorratio.asp" </w:instrText>
      </w:r>
      <w:r w:rsidRPr="007539CE">
        <w:rPr>
          <w:rFonts w:ascii="Arial" w:hAnsi="Arial" w:cs="Arial"/>
          <w:color w:val="000000" w:themeColor="text1"/>
          <w:sz w:val="29"/>
          <w:szCs w:val="29"/>
        </w:rPr>
        <w:fldChar w:fldCharType="separate"/>
      </w:r>
      <w:r w:rsidRPr="007539CE">
        <w:rPr>
          <w:rStyle w:val="Hyperlink"/>
          <w:rFonts w:ascii="Arial" w:hAnsi="Arial" w:cs="Arial"/>
          <w:color w:val="000000" w:themeColor="text1"/>
          <w:sz w:val="29"/>
          <w:szCs w:val="29"/>
        </w:rPr>
        <w:t>Treynor</w:t>
      </w:r>
      <w:proofErr w:type="spellEnd"/>
      <w:r w:rsidRPr="007539CE">
        <w:rPr>
          <w:rFonts w:ascii="Arial" w:hAnsi="Arial" w:cs="Arial"/>
          <w:color w:val="000000" w:themeColor="text1"/>
          <w:sz w:val="29"/>
          <w:szCs w:val="29"/>
        </w:rPr>
        <w:fldChar w:fldCharType="end"/>
      </w:r>
      <w:r w:rsidRPr="007539CE">
        <w:rPr>
          <w:rFonts w:ascii="Arial" w:hAnsi="Arial" w:cs="Arial"/>
          <w:color w:val="000000" w:themeColor="text1"/>
          <w:sz w:val="29"/>
          <w:szCs w:val="29"/>
        </w:rPr>
        <w:t>, Sharpe, and </w:t>
      </w:r>
      <w:hyperlink r:id="rId92" w:history="1">
        <w:r w:rsidRPr="007539CE">
          <w:rPr>
            <w:rStyle w:val="Hyperlink"/>
            <w:rFonts w:ascii="Arial" w:hAnsi="Arial" w:cs="Arial"/>
            <w:color w:val="000000" w:themeColor="text1"/>
            <w:sz w:val="29"/>
            <w:szCs w:val="29"/>
          </w:rPr>
          <w:t>Jensen ratios</w:t>
        </w:r>
      </w:hyperlink>
      <w:r w:rsidRPr="007539CE">
        <w:rPr>
          <w:rFonts w:ascii="Arial" w:hAnsi="Arial" w:cs="Arial"/>
          <w:color w:val="000000" w:themeColor="text1"/>
          <w:sz w:val="29"/>
          <w:szCs w:val="29"/>
        </w:rPr>
        <w:t xml:space="preserve"> combine risk and return performance into a single value, but each is slightly different. Which one is best? </w:t>
      </w:r>
      <w:proofErr w:type="gramStart"/>
      <w:r w:rsidRPr="007539CE">
        <w:rPr>
          <w:rFonts w:ascii="Arial" w:hAnsi="Arial" w:cs="Arial"/>
          <w:color w:val="000000" w:themeColor="text1"/>
          <w:sz w:val="29"/>
          <w:szCs w:val="29"/>
        </w:rPr>
        <w:t>Perhaps, a combination of all three.</w:t>
      </w:r>
      <w:proofErr w:type="gramEnd"/>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proofErr w:type="spellStart"/>
      <w:r w:rsidRPr="007539CE">
        <w:rPr>
          <w:rStyle w:val="mntl-sc-block-headingtext"/>
          <w:rFonts w:ascii="Arial" w:hAnsi="Arial" w:cs="Arial"/>
          <w:b w:val="0"/>
          <w:bCs w:val="0"/>
          <w:color w:val="000000" w:themeColor="text1"/>
        </w:rPr>
        <w:t>Treynor</w:t>
      </w:r>
      <w:proofErr w:type="spellEnd"/>
      <w:r w:rsidRPr="007539CE">
        <w:rPr>
          <w:rStyle w:val="mntl-sc-block-headingtext"/>
          <w:rFonts w:ascii="Arial" w:hAnsi="Arial" w:cs="Arial"/>
          <w:b w:val="0"/>
          <w:bCs w:val="0"/>
          <w:color w:val="000000" w:themeColor="text1"/>
        </w:rPr>
        <w:t xml:space="preserve"> Measure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Jack L.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was the first to provide investors with a composite measure of portfolio performance that also included risk. </w:t>
      </w:r>
      <w:proofErr w:type="spellStart"/>
      <w:r w:rsidRPr="007539CE">
        <w:rPr>
          <w:rFonts w:ascii="Arial" w:hAnsi="Arial" w:cs="Arial"/>
          <w:color w:val="000000" w:themeColor="text1"/>
          <w:sz w:val="29"/>
          <w:szCs w:val="29"/>
        </w:rPr>
        <w:t>Treynor's</w:t>
      </w:r>
      <w:proofErr w:type="spellEnd"/>
      <w:r w:rsidRPr="007539CE">
        <w:rPr>
          <w:rFonts w:ascii="Arial" w:hAnsi="Arial" w:cs="Arial"/>
          <w:color w:val="000000" w:themeColor="text1"/>
          <w:sz w:val="29"/>
          <w:szCs w:val="29"/>
        </w:rPr>
        <w:t xml:space="preserve"> objective was to find a performance measure that could apply to all investors regardless of their personal risk preferences.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suggested that there were really two components of risk: the risk produced by fluctuations in the </w:t>
      </w:r>
      <w:hyperlink r:id="rId93" w:history="1">
        <w:r w:rsidRPr="007539CE">
          <w:rPr>
            <w:rStyle w:val="Hyperlink"/>
            <w:rFonts w:ascii="Arial" w:hAnsi="Arial" w:cs="Arial"/>
            <w:color w:val="000000" w:themeColor="text1"/>
            <w:sz w:val="29"/>
            <w:szCs w:val="29"/>
          </w:rPr>
          <w:t>stock market</w:t>
        </w:r>
      </w:hyperlink>
      <w:r w:rsidRPr="007539CE">
        <w:rPr>
          <w:rFonts w:ascii="Arial" w:hAnsi="Arial" w:cs="Arial"/>
          <w:color w:val="000000" w:themeColor="text1"/>
          <w:sz w:val="29"/>
          <w:szCs w:val="29"/>
        </w:rPr>
        <w:t> and the risk arising from the fluctuations of individual </w:t>
      </w:r>
      <w:hyperlink r:id="rId94" w:history="1">
        <w:r w:rsidRPr="007539CE">
          <w:rPr>
            <w:rStyle w:val="Hyperlink"/>
            <w:rFonts w:ascii="Arial" w:hAnsi="Arial" w:cs="Arial"/>
            <w:color w:val="000000" w:themeColor="text1"/>
            <w:sz w:val="29"/>
            <w:szCs w:val="29"/>
          </w:rPr>
          <w:t>securities</w:t>
        </w:r>
      </w:hyperlink>
      <w:r w:rsidRPr="007539CE">
        <w:rPr>
          <w:rFonts w:ascii="Arial" w:hAnsi="Arial" w:cs="Arial"/>
          <w:color w:val="000000" w:themeColor="text1"/>
          <w:sz w:val="29"/>
          <w:szCs w:val="29"/>
        </w:rPr>
        <w:t>.</w:t>
      </w:r>
      <w:r w:rsidRPr="007539CE">
        <w:rPr>
          <w:rStyle w:val="mntl-inline-citation"/>
          <w:rFonts w:ascii="Arial" w:hAnsi="Arial" w:cs="Arial"/>
          <w:color w:val="000000" w:themeColor="text1"/>
          <w:spacing w:val="17"/>
          <w:sz w:val="22"/>
          <w:szCs w:val="22"/>
          <w:vertAlign w:val="superscript"/>
        </w:rPr>
        <w:t>1</w:t>
      </w:r>
      <w:r w:rsidRPr="007539CE">
        <w:rPr>
          <w:rFonts w:ascii="Arial" w:hAnsi="Arial" w:cs="Arial"/>
          <w:color w:val="000000" w:themeColor="text1"/>
          <w:sz w:val="29"/>
          <w:szCs w:val="29"/>
        </w:rPr>
        <w:t>﻿</w:t>
      </w:r>
    </w:p>
    <w:p w:rsidR="007539CE" w:rsidRPr="007539CE" w:rsidRDefault="007539CE" w:rsidP="00C46849">
      <w:pPr>
        <w:pStyle w:val="comp"/>
        <w:spacing w:before="0" w:beforeAutospacing="0"/>
        <w:jc w:val="both"/>
        <w:rPr>
          <w:rFonts w:ascii="Arial" w:hAnsi="Arial" w:cs="Arial"/>
          <w:color w:val="000000" w:themeColor="text1"/>
          <w:sz w:val="29"/>
          <w:szCs w:val="29"/>
        </w:rPr>
      </w:pP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introduced the concept of the </w:t>
      </w:r>
      <w:hyperlink r:id="rId95" w:history="1">
        <w:r w:rsidRPr="007539CE">
          <w:rPr>
            <w:rStyle w:val="Hyperlink"/>
            <w:rFonts w:ascii="Arial" w:hAnsi="Arial" w:cs="Arial"/>
            <w:color w:val="000000" w:themeColor="text1"/>
            <w:sz w:val="29"/>
            <w:szCs w:val="29"/>
          </w:rPr>
          <w:t>security market line</w:t>
        </w:r>
      </w:hyperlink>
      <w:r w:rsidRPr="007539CE">
        <w:rPr>
          <w:rFonts w:ascii="Arial" w:hAnsi="Arial" w:cs="Arial"/>
          <w:color w:val="000000" w:themeColor="text1"/>
          <w:sz w:val="29"/>
          <w:szCs w:val="29"/>
        </w:rPr>
        <w:t>, which defines the relationship between portfolio returns and market rates of returns whereby the slope of the line measures the relative volatility between the portfolio and the market (as represented by </w:t>
      </w:r>
      <w:hyperlink r:id="rId96" w:history="1">
        <w:r w:rsidRPr="007539CE">
          <w:rPr>
            <w:rStyle w:val="Hyperlink"/>
            <w:rFonts w:ascii="Arial" w:hAnsi="Arial" w:cs="Arial"/>
            <w:color w:val="000000" w:themeColor="text1"/>
            <w:sz w:val="29"/>
            <w:szCs w:val="29"/>
          </w:rPr>
          <w:t>beta</w:t>
        </w:r>
      </w:hyperlink>
      <w:r w:rsidRPr="007539CE">
        <w:rPr>
          <w:rFonts w:ascii="Arial" w:hAnsi="Arial" w:cs="Arial"/>
          <w:color w:val="000000" w:themeColor="text1"/>
          <w:sz w:val="29"/>
          <w:szCs w:val="29"/>
        </w:rPr>
        <w:t xml:space="preserve">). The beta coefficient is the volatility measure of a stock portfolio to the market itself. The greater the line's slope, the better the risk-return </w:t>
      </w:r>
      <w:proofErr w:type="spellStart"/>
      <w:r w:rsidRPr="007539CE">
        <w:rPr>
          <w:rFonts w:ascii="Arial" w:hAnsi="Arial" w:cs="Arial"/>
          <w:color w:val="000000" w:themeColor="text1"/>
          <w:sz w:val="29"/>
          <w:szCs w:val="29"/>
        </w:rPr>
        <w:t>tradeoff</w:t>
      </w:r>
      <w:proofErr w:type="spellEnd"/>
      <w:r w:rsidRPr="007539CE">
        <w:rPr>
          <w:rFonts w:ascii="Arial" w:hAnsi="Arial" w:cs="Arial"/>
          <w:color w:val="000000" w:themeColor="text1"/>
          <w:sz w:val="29"/>
          <w:szCs w:val="29"/>
        </w:rPr>
        <w:t>.</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measure, also known as the reward-to-</w:t>
      </w:r>
      <w:hyperlink r:id="rId97" w:history="1">
        <w:r w:rsidRPr="007539CE">
          <w:rPr>
            <w:rStyle w:val="Hyperlink"/>
            <w:rFonts w:ascii="Arial" w:hAnsi="Arial" w:cs="Arial"/>
            <w:color w:val="000000" w:themeColor="text1"/>
            <w:sz w:val="29"/>
            <w:szCs w:val="29"/>
          </w:rPr>
          <w:t>volatility ratio</w:t>
        </w:r>
      </w:hyperlink>
      <w:r w:rsidRPr="007539CE">
        <w:rPr>
          <w:rFonts w:ascii="Arial" w:hAnsi="Arial" w:cs="Arial"/>
          <w:color w:val="000000" w:themeColor="text1"/>
          <w:sz w:val="29"/>
          <w:szCs w:val="29"/>
        </w:rPr>
        <w:t>, is defined as:</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Style w:val="katex-mathml"/>
          <w:color w:val="000000" w:themeColor="text1"/>
          <w:sz w:val="35"/>
          <w:szCs w:val="35"/>
          <w:bdr w:val="none" w:sz="0" w:space="0" w:color="auto" w:frame="1"/>
        </w:rPr>
        <w:t>\begin{aligned} &amp;\</w:t>
      </w:r>
      <w:proofErr w:type="gramStart"/>
      <w:r w:rsidRPr="007539CE">
        <w:rPr>
          <w:rStyle w:val="katex-mathml"/>
          <w:color w:val="000000" w:themeColor="text1"/>
          <w:sz w:val="35"/>
          <w:szCs w:val="35"/>
          <w:bdr w:val="none" w:sz="0" w:space="0" w:color="auto" w:frame="1"/>
        </w:rPr>
        <w:t>text{</w:t>
      </w:r>
      <w:proofErr w:type="spellStart"/>
      <w:proofErr w:type="gramEnd"/>
      <w:r w:rsidRPr="007539CE">
        <w:rPr>
          <w:rStyle w:val="katex-mathml"/>
          <w:color w:val="000000" w:themeColor="text1"/>
          <w:sz w:val="35"/>
          <w:szCs w:val="35"/>
          <w:bdr w:val="none" w:sz="0" w:space="0" w:color="auto" w:frame="1"/>
        </w:rPr>
        <w:t>Treynor</w:t>
      </w:r>
      <w:proofErr w:type="spellEnd"/>
      <w:r w:rsidRPr="007539CE">
        <w:rPr>
          <w:rStyle w:val="katex-mathml"/>
          <w:color w:val="000000" w:themeColor="text1"/>
          <w:sz w:val="35"/>
          <w:szCs w:val="35"/>
          <w:bdr w:val="none" w:sz="0" w:space="0" w:color="auto" w:frame="1"/>
        </w:rPr>
        <w:t xml:space="preserve"> Measure} = \</w:t>
      </w:r>
      <w:proofErr w:type="spellStart"/>
      <w:r w:rsidRPr="007539CE">
        <w:rPr>
          <w:rStyle w:val="katex-mathml"/>
          <w:color w:val="000000" w:themeColor="text1"/>
          <w:sz w:val="35"/>
          <w:szCs w:val="35"/>
          <w:bdr w:val="none" w:sz="0" w:space="0" w:color="auto" w:frame="1"/>
        </w:rPr>
        <w:t>frac</w:t>
      </w:r>
      <w:proofErr w:type="spellEnd"/>
      <w:r w:rsidRPr="007539CE">
        <w:rPr>
          <w:rStyle w:val="katex-mathml"/>
          <w:color w:val="000000" w:themeColor="text1"/>
          <w:sz w:val="35"/>
          <w:szCs w:val="35"/>
          <w:bdr w:val="none" w:sz="0" w:space="0" w:color="auto" w:frame="1"/>
        </w:rPr>
        <w:t>{PR - RFR}{\beta}\\ &amp;\</w:t>
      </w:r>
      <w:proofErr w:type="spellStart"/>
      <w:r w:rsidRPr="007539CE">
        <w:rPr>
          <w:rStyle w:val="katex-mathml"/>
          <w:color w:val="000000" w:themeColor="text1"/>
          <w:sz w:val="35"/>
          <w:szCs w:val="35"/>
          <w:bdr w:val="none" w:sz="0" w:space="0" w:color="auto" w:frame="1"/>
        </w:rPr>
        <w:t>textbf</w:t>
      </w:r>
      <w:proofErr w:type="spellEnd"/>
      <w:r w:rsidRPr="007539CE">
        <w:rPr>
          <w:rStyle w:val="katex-mathml"/>
          <w:color w:val="000000" w:themeColor="text1"/>
          <w:sz w:val="35"/>
          <w:szCs w:val="35"/>
          <w:bdr w:val="none" w:sz="0" w:space="0" w:color="auto" w:frame="1"/>
        </w:rPr>
        <w:t>{where:}\\ &amp;PR=\text{portfolio return}\\ &amp;RFR=\text{risk-free rate}\\ &amp;\beta=\text{beta}\\ \end{aligned}</w:t>
      </w:r>
      <w:r w:rsidRPr="007539CE">
        <w:rPr>
          <w:rStyle w:val="vlist-s"/>
          <w:color w:val="000000" w:themeColor="text1"/>
          <w:sz w:val="2"/>
          <w:szCs w:val="2"/>
        </w:rPr>
        <w:t>​</w:t>
      </w:r>
      <w:r w:rsidRPr="007539CE">
        <w:rPr>
          <w:rStyle w:val="mord"/>
          <w:color w:val="000000" w:themeColor="text1"/>
          <w:sz w:val="35"/>
          <w:szCs w:val="35"/>
        </w:rPr>
        <w:t>Treynor Measure</w:t>
      </w:r>
      <w:r w:rsidRPr="007539CE">
        <w:rPr>
          <w:rStyle w:val="mrel"/>
          <w:color w:val="000000" w:themeColor="text1"/>
          <w:sz w:val="35"/>
          <w:szCs w:val="35"/>
        </w:rPr>
        <w:t>=</w:t>
      </w:r>
      <w:r w:rsidRPr="007539CE">
        <w:rPr>
          <w:rStyle w:val="mord"/>
          <w:rFonts w:ascii="KaTeX_Math" w:hAnsi="KaTeX_Math"/>
          <w:i/>
          <w:iCs/>
          <w:color w:val="000000" w:themeColor="text1"/>
          <w:sz w:val="35"/>
          <w:szCs w:val="35"/>
        </w:rPr>
        <w:t>βPR</w:t>
      </w:r>
      <w:r w:rsidRPr="007539CE">
        <w:rPr>
          <w:rStyle w:val="mbin"/>
          <w:color w:val="000000" w:themeColor="text1"/>
          <w:sz w:val="35"/>
          <w:szCs w:val="35"/>
        </w:rPr>
        <w:t>−</w:t>
      </w:r>
      <w:r w:rsidRPr="007539CE">
        <w:rPr>
          <w:rStyle w:val="mord"/>
          <w:rFonts w:ascii="KaTeX_Math" w:hAnsi="KaTeX_Math"/>
          <w:i/>
          <w:iCs/>
          <w:color w:val="000000" w:themeColor="text1"/>
          <w:sz w:val="35"/>
          <w:szCs w:val="35"/>
        </w:rPr>
        <w:t>RFR</w:t>
      </w:r>
      <w:r w:rsidRPr="007539CE">
        <w:rPr>
          <w:rStyle w:val="vlist-s"/>
          <w:color w:val="000000" w:themeColor="text1"/>
          <w:sz w:val="2"/>
          <w:szCs w:val="2"/>
        </w:rPr>
        <w:t>​</w:t>
      </w:r>
      <w:r w:rsidRPr="007539CE">
        <w:rPr>
          <w:rStyle w:val="mord"/>
          <w:b/>
          <w:bCs/>
          <w:color w:val="000000" w:themeColor="text1"/>
          <w:sz w:val="35"/>
          <w:szCs w:val="35"/>
        </w:rPr>
        <w:t>where:</w:t>
      </w:r>
      <w:r w:rsidRPr="007539CE">
        <w:rPr>
          <w:rStyle w:val="mord"/>
          <w:rFonts w:ascii="KaTeX_Math" w:hAnsi="KaTeX_Math"/>
          <w:i/>
          <w:iCs/>
          <w:color w:val="000000" w:themeColor="text1"/>
          <w:sz w:val="35"/>
          <w:szCs w:val="35"/>
        </w:rPr>
        <w:t>PR</w:t>
      </w:r>
      <w:r w:rsidRPr="007539CE">
        <w:rPr>
          <w:rStyle w:val="mrel"/>
          <w:color w:val="000000" w:themeColor="text1"/>
          <w:sz w:val="35"/>
          <w:szCs w:val="35"/>
        </w:rPr>
        <w:t>=</w:t>
      </w:r>
      <w:r w:rsidRPr="007539CE">
        <w:rPr>
          <w:rStyle w:val="mord"/>
          <w:color w:val="000000" w:themeColor="text1"/>
          <w:sz w:val="35"/>
          <w:szCs w:val="35"/>
        </w:rPr>
        <w:t>portfolio return</w:t>
      </w:r>
      <w:r w:rsidRPr="007539CE">
        <w:rPr>
          <w:rStyle w:val="mord"/>
          <w:rFonts w:ascii="KaTeX_Math" w:hAnsi="KaTeX_Math"/>
          <w:i/>
          <w:iCs/>
          <w:color w:val="000000" w:themeColor="text1"/>
          <w:sz w:val="35"/>
          <w:szCs w:val="35"/>
        </w:rPr>
        <w:t>RFR</w:t>
      </w:r>
      <w:r w:rsidRPr="007539CE">
        <w:rPr>
          <w:rStyle w:val="mrel"/>
          <w:color w:val="000000" w:themeColor="text1"/>
          <w:sz w:val="35"/>
          <w:szCs w:val="35"/>
        </w:rPr>
        <w:t>=</w:t>
      </w:r>
      <w:r w:rsidRPr="007539CE">
        <w:rPr>
          <w:rStyle w:val="mord"/>
          <w:color w:val="000000" w:themeColor="text1"/>
          <w:sz w:val="35"/>
          <w:szCs w:val="35"/>
        </w:rPr>
        <w:t>risk-free rate</w:t>
      </w:r>
      <w:r w:rsidRPr="007539CE">
        <w:rPr>
          <w:rStyle w:val="mord"/>
          <w:rFonts w:ascii="KaTeX_Math" w:hAnsi="KaTeX_Math"/>
          <w:i/>
          <w:iCs/>
          <w:color w:val="000000" w:themeColor="text1"/>
          <w:sz w:val="35"/>
          <w:szCs w:val="35"/>
        </w:rPr>
        <w:t>β</w:t>
      </w:r>
      <w:r w:rsidRPr="007539CE">
        <w:rPr>
          <w:rStyle w:val="mrel"/>
          <w:color w:val="000000" w:themeColor="text1"/>
          <w:sz w:val="35"/>
          <w:szCs w:val="35"/>
        </w:rPr>
        <w:t>=</w:t>
      </w:r>
      <w:r w:rsidRPr="007539CE">
        <w:rPr>
          <w:rStyle w:val="mord"/>
          <w:color w:val="000000" w:themeColor="text1"/>
          <w:sz w:val="35"/>
          <w:szCs w:val="35"/>
        </w:rPr>
        <w:t>beta</w:t>
      </w:r>
      <w:r w:rsidRPr="007539CE">
        <w:rPr>
          <w:rStyle w:val="vlist-s"/>
          <w:color w:val="000000" w:themeColor="text1"/>
          <w:sz w:val="2"/>
          <w:szCs w:val="2"/>
        </w:rPr>
        <w:t>​</w:t>
      </w:r>
      <w:r w:rsidRPr="007539CE">
        <w:rPr>
          <w:rFonts w:ascii="Arial" w:hAnsi="Arial" w:cs="Arial"/>
          <w:color w:val="000000" w:themeColor="text1"/>
          <w:sz w:val="29"/>
          <w:szCs w:val="29"/>
        </w:rPr>
        <w:t>﻿</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numerator identifies the </w:t>
      </w:r>
      <w:hyperlink r:id="rId98" w:history="1">
        <w:r w:rsidRPr="007539CE">
          <w:rPr>
            <w:rStyle w:val="Hyperlink"/>
            <w:rFonts w:ascii="Arial" w:hAnsi="Arial" w:cs="Arial"/>
            <w:color w:val="000000" w:themeColor="text1"/>
            <w:sz w:val="29"/>
            <w:szCs w:val="29"/>
          </w:rPr>
          <w:t>risk premium</w:t>
        </w:r>
      </w:hyperlink>
      <w:r w:rsidRPr="007539CE">
        <w:rPr>
          <w:rFonts w:ascii="Arial" w:hAnsi="Arial" w:cs="Arial"/>
          <w:color w:val="000000" w:themeColor="text1"/>
          <w:sz w:val="29"/>
          <w:szCs w:val="29"/>
        </w:rPr>
        <w:t>, and the denominator corresponds to the portfolio risk. The resulting value represents the portfolio's return per unit risk.</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To illustrate, suppose that the 10-year annual return for the </w:t>
      </w:r>
      <w:hyperlink r:id="rId99" w:history="1">
        <w:r w:rsidRPr="007539CE">
          <w:rPr>
            <w:rStyle w:val="Hyperlink"/>
            <w:rFonts w:ascii="Arial" w:hAnsi="Arial" w:cs="Arial"/>
            <w:color w:val="000000" w:themeColor="text1"/>
            <w:sz w:val="29"/>
            <w:szCs w:val="29"/>
          </w:rPr>
          <w:t>S&amp;P</w:t>
        </w:r>
      </w:hyperlink>
      <w:r w:rsidRPr="007539CE">
        <w:rPr>
          <w:rFonts w:ascii="Arial" w:hAnsi="Arial" w:cs="Arial"/>
          <w:color w:val="000000" w:themeColor="text1"/>
          <w:sz w:val="29"/>
          <w:szCs w:val="29"/>
        </w:rPr>
        <w:t> 500 (market portfolio) is 10% while the average annual return on </w:t>
      </w:r>
      <w:hyperlink r:id="rId100" w:history="1">
        <w:r w:rsidRPr="007539CE">
          <w:rPr>
            <w:rStyle w:val="Hyperlink"/>
            <w:rFonts w:ascii="Arial" w:hAnsi="Arial" w:cs="Arial"/>
            <w:color w:val="000000" w:themeColor="text1"/>
            <w:sz w:val="29"/>
            <w:szCs w:val="29"/>
          </w:rPr>
          <w:t>Treasury bills</w:t>
        </w:r>
      </w:hyperlink>
      <w:r w:rsidRPr="007539CE">
        <w:rPr>
          <w:rFonts w:ascii="Arial" w:hAnsi="Arial" w:cs="Arial"/>
          <w:color w:val="000000" w:themeColor="text1"/>
          <w:sz w:val="29"/>
          <w:szCs w:val="29"/>
        </w:rPr>
        <w:t> (a good proxy for the </w:t>
      </w:r>
      <w:hyperlink r:id="rId101" w:history="1">
        <w:r w:rsidRPr="007539CE">
          <w:rPr>
            <w:rStyle w:val="Hyperlink"/>
            <w:rFonts w:ascii="Arial" w:hAnsi="Arial" w:cs="Arial"/>
            <w:color w:val="000000" w:themeColor="text1"/>
            <w:sz w:val="29"/>
            <w:szCs w:val="29"/>
          </w:rPr>
          <w:t>risk-free rate</w:t>
        </w:r>
      </w:hyperlink>
      <w:r w:rsidRPr="007539CE">
        <w:rPr>
          <w:rFonts w:ascii="Arial" w:hAnsi="Arial" w:cs="Arial"/>
          <w:color w:val="000000" w:themeColor="text1"/>
          <w:sz w:val="29"/>
          <w:szCs w:val="29"/>
        </w:rPr>
        <w:t xml:space="preserve">) is 5%. Then, assume the </w:t>
      </w:r>
      <w:r w:rsidRPr="007539CE">
        <w:rPr>
          <w:rFonts w:ascii="Arial" w:hAnsi="Arial" w:cs="Arial"/>
          <w:color w:val="000000" w:themeColor="text1"/>
          <w:sz w:val="29"/>
          <w:szCs w:val="29"/>
        </w:rPr>
        <w:lastRenderedPageBreak/>
        <w:t>evaluation is of three distinct </w:t>
      </w:r>
      <w:hyperlink r:id="rId102" w:history="1">
        <w:r w:rsidRPr="007539CE">
          <w:rPr>
            <w:rStyle w:val="Hyperlink"/>
            <w:rFonts w:ascii="Arial" w:hAnsi="Arial" w:cs="Arial"/>
            <w:color w:val="000000" w:themeColor="text1"/>
            <w:sz w:val="29"/>
            <w:szCs w:val="29"/>
          </w:rPr>
          <w:t>portfolio managers</w:t>
        </w:r>
      </w:hyperlink>
      <w:r w:rsidRPr="007539CE">
        <w:rPr>
          <w:rFonts w:ascii="Arial" w:hAnsi="Arial" w:cs="Arial"/>
          <w:color w:val="000000" w:themeColor="text1"/>
          <w:sz w:val="29"/>
          <w:szCs w:val="29"/>
        </w:rPr>
        <w:t> with the following 10-year results:</w:t>
      </w:r>
    </w:p>
    <w:tbl>
      <w:tblPr>
        <w:tblW w:w="0" w:type="auto"/>
        <w:tblCellMar>
          <w:top w:w="15" w:type="dxa"/>
          <w:left w:w="15" w:type="dxa"/>
          <w:bottom w:w="15" w:type="dxa"/>
          <w:right w:w="15" w:type="dxa"/>
        </w:tblCellMar>
        <w:tblLook w:val="04A0"/>
      </w:tblPr>
      <w:tblGrid>
        <w:gridCol w:w="1058"/>
        <w:gridCol w:w="2475"/>
        <w:gridCol w:w="507"/>
      </w:tblGrid>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rStyle w:val="Strong"/>
                <w:rFonts w:ascii="Arial" w:hAnsi="Arial" w:cs="Arial"/>
                <w:color w:val="000000" w:themeColor="text1"/>
              </w:rPr>
              <w:t>Managers</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rStyle w:val="Strong"/>
                <w:rFonts w:ascii="Arial" w:hAnsi="Arial" w:cs="Arial"/>
                <w:color w:val="000000" w:themeColor="text1"/>
              </w:rPr>
              <w:t>Average Annual Return</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rStyle w:val="Strong"/>
                <w:rFonts w:ascii="Arial" w:hAnsi="Arial" w:cs="Arial"/>
                <w:color w:val="000000" w:themeColor="text1"/>
              </w:rPr>
              <w:t>Beta</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Manager A</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10%</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0.90</w:t>
            </w:r>
          </w:p>
        </w:tc>
      </w:tr>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Manager B</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14%</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1.03</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Manager C</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15%</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1.20</w:t>
            </w:r>
          </w:p>
        </w:tc>
      </w:tr>
    </w:tbl>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value for each is as follows:</w:t>
      </w:r>
    </w:p>
    <w:tbl>
      <w:tblPr>
        <w:tblW w:w="0" w:type="auto"/>
        <w:tblCellMar>
          <w:top w:w="15" w:type="dxa"/>
          <w:left w:w="15" w:type="dxa"/>
          <w:bottom w:w="15" w:type="dxa"/>
          <w:right w:w="15" w:type="dxa"/>
        </w:tblCellMar>
        <w:tblLook w:val="04A0"/>
      </w:tblPr>
      <w:tblGrid>
        <w:gridCol w:w="1240"/>
        <w:gridCol w:w="1536"/>
        <w:gridCol w:w="1287"/>
      </w:tblGrid>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 </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Calculation</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proofErr w:type="spellStart"/>
            <w:r w:rsidRPr="007539CE">
              <w:rPr>
                <w:color w:val="000000" w:themeColor="text1"/>
              </w:rPr>
              <w:t>Treynor</w:t>
            </w:r>
            <w:proofErr w:type="spellEnd"/>
            <w:r w:rsidRPr="007539CE">
              <w:rPr>
                <w:color w:val="000000" w:themeColor="text1"/>
              </w:rPr>
              <w:t xml:space="preserve"> Value</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T(market)</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(0.10-0.05)/1 </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0.05</w:t>
            </w:r>
          </w:p>
        </w:tc>
      </w:tr>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T(manager A)</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(0.10-0.05)/0.90 </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0.056</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T(manager B)</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(0.14-0.05)/1.03 </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0.087</w:t>
            </w:r>
          </w:p>
        </w:tc>
      </w:tr>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T(manager C)</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(0.15-0.05)/1.20</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0.083</w:t>
            </w:r>
          </w:p>
        </w:tc>
      </w:tr>
    </w:tbl>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The higher 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measure, the better the portfolio. If the portfolio manager (or portfolio) is evaluated on performance alone, manager C seems to have yielded the best results. However, when considering the risks that each manager took to attain their respective returns, Manager B demonstrated a better outcome. In this case, all three managers performed better than the aggregate market.</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Because this measure only uses </w:t>
      </w:r>
      <w:hyperlink r:id="rId103" w:history="1">
        <w:r w:rsidRPr="007539CE">
          <w:rPr>
            <w:rStyle w:val="Hyperlink"/>
            <w:rFonts w:ascii="Arial" w:hAnsi="Arial" w:cs="Arial"/>
            <w:color w:val="000000" w:themeColor="text1"/>
            <w:sz w:val="29"/>
            <w:szCs w:val="29"/>
          </w:rPr>
          <w:t>systematic risk</w:t>
        </w:r>
      </w:hyperlink>
      <w:r w:rsidRPr="007539CE">
        <w:rPr>
          <w:rFonts w:ascii="Arial" w:hAnsi="Arial" w:cs="Arial"/>
          <w:color w:val="000000" w:themeColor="text1"/>
          <w:sz w:val="29"/>
          <w:szCs w:val="29"/>
        </w:rPr>
        <w:t>, it assumes that the investor already has an adequately diversified portfolio and, therefore, </w:t>
      </w:r>
      <w:hyperlink r:id="rId104" w:history="1">
        <w:r w:rsidRPr="007539CE">
          <w:rPr>
            <w:rStyle w:val="Hyperlink"/>
            <w:rFonts w:ascii="Arial" w:hAnsi="Arial" w:cs="Arial"/>
            <w:color w:val="000000" w:themeColor="text1"/>
            <w:sz w:val="29"/>
            <w:szCs w:val="29"/>
          </w:rPr>
          <w:t>unsystematic risk</w:t>
        </w:r>
      </w:hyperlink>
      <w:r w:rsidRPr="007539CE">
        <w:rPr>
          <w:rFonts w:ascii="Arial" w:hAnsi="Arial" w:cs="Arial"/>
          <w:color w:val="000000" w:themeColor="text1"/>
          <w:sz w:val="29"/>
          <w:szCs w:val="29"/>
        </w:rPr>
        <w:t> (also known as diversifiable risk) is not considered. As a result, this performance measure is most applicable to investors who hold diversified portfolios.</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Sharpe Ratio</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The Sharpe ratio is almost identical to 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measure, except that the risk measure is the standard deviation of the portfolio instead of considering only the systematic risk as represented by beta. Conceived by Bill Sharpe</w:t>
      </w:r>
      <w:proofErr w:type="gramStart"/>
      <w:r w:rsidRPr="007539CE">
        <w:rPr>
          <w:rFonts w:ascii="Arial" w:hAnsi="Arial" w:cs="Arial"/>
          <w:color w:val="000000" w:themeColor="text1"/>
          <w:sz w:val="29"/>
          <w:szCs w:val="29"/>
        </w:rPr>
        <w:t>,</w:t>
      </w:r>
      <w:r w:rsidRPr="007539CE">
        <w:rPr>
          <w:rStyle w:val="mntl-inline-citation"/>
          <w:rFonts w:ascii="Arial" w:hAnsi="Arial" w:cs="Arial"/>
          <w:color w:val="000000" w:themeColor="text1"/>
          <w:spacing w:val="17"/>
          <w:sz w:val="22"/>
          <w:szCs w:val="22"/>
          <w:vertAlign w:val="superscript"/>
        </w:rPr>
        <w:t>2</w:t>
      </w:r>
      <w:proofErr w:type="gramEnd"/>
      <w:r w:rsidRPr="007539CE">
        <w:rPr>
          <w:rFonts w:ascii="Arial" w:hAnsi="Arial" w:cs="Arial"/>
          <w:color w:val="000000" w:themeColor="text1"/>
          <w:sz w:val="29"/>
          <w:szCs w:val="29"/>
        </w:rPr>
        <w:t>﻿ this measure closely follows his work on the </w:t>
      </w:r>
      <w:hyperlink r:id="rId105" w:history="1">
        <w:r w:rsidRPr="007539CE">
          <w:rPr>
            <w:rStyle w:val="Hyperlink"/>
            <w:rFonts w:ascii="Arial" w:hAnsi="Arial" w:cs="Arial"/>
            <w:color w:val="000000" w:themeColor="text1"/>
            <w:sz w:val="29"/>
            <w:szCs w:val="29"/>
          </w:rPr>
          <w:t>capital asset pricing model</w:t>
        </w:r>
      </w:hyperlink>
      <w:r w:rsidRPr="007539CE">
        <w:rPr>
          <w:rFonts w:ascii="Arial" w:hAnsi="Arial" w:cs="Arial"/>
          <w:color w:val="000000" w:themeColor="text1"/>
          <w:sz w:val="29"/>
          <w:szCs w:val="29"/>
        </w:rPr>
        <w:t> (CAPM) and, by extension, uses total risk to compare portfolios to the </w:t>
      </w:r>
      <w:hyperlink r:id="rId106" w:history="1">
        <w:r w:rsidRPr="007539CE">
          <w:rPr>
            <w:rStyle w:val="Hyperlink"/>
            <w:rFonts w:ascii="Arial" w:hAnsi="Arial" w:cs="Arial"/>
            <w:color w:val="000000" w:themeColor="text1"/>
            <w:sz w:val="29"/>
            <w:szCs w:val="29"/>
          </w:rPr>
          <w:t>capital market line</w:t>
        </w:r>
      </w:hyperlink>
      <w:r w:rsidRPr="007539CE">
        <w:rPr>
          <w:rFonts w:ascii="Arial" w:hAnsi="Arial" w:cs="Arial"/>
          <w:color w:val="000000" w:themeColor="text1"/>
          <w:sz w:val="29"/>
          <w:szCs w:val="29"/>
        </w:rPr>
        <w:t>.</w:t>
      </w:r>
      <w:r w:rsidRPr="007539CE">
        <w:rPr>
          <w:rStyle w:val="mntl-inline-citation"/>
          <w:rFonts w:ascii="Arial" w:hAnsi="Arial" w:cs="Arial"/>
          <w:color w:val="000000" w:themeColor="text1"/>
          <w:spacing w:val="17"/>
          <w:sz w:val="22"/>
          <w:szCs w:val="22"/>
          <w:vertAlign w:val="superscript"/>
        </w:rPr>
        <w:t>3</w:t>
      </w:r>
      <w:r w:rsidRPr="007539CE">
        <w:rPr>
          <w:rFonts w:ascii="Arial" w:hAnsi="Arial" w:cs="Arial"/>
          <w:color w:val="000000" w:themeColor="text1"/>
          <w:sz w:val="29"/>
          <w:szCs w:val="29"/>
        </w:rPr>
        <w:t>﻿</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Sharpe ratio is defined as:</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Style w:val="katex-mathml"/>
          <w:color w:val="000000" w:themeColor="text1"/>
          <w:sz w:val="35"/>
          <w:szCs w:val="35"/>
          <w:bdr w:val="none" w:sz="0" w:space="0" w:color="auto" w:frame="1"/>
        </w:rPr>
        <w:lastRenderedPageBreak/>
        <w:t>\begin{aligned} &amp;\</w:t>
      </w:r>
      <w:proofErr w:type="gramStart"/>
      <w:r w:rsidRPr="007539CE">
        <w:rPr>
          <w:rStyle w:val="katex-mathml"/>
          <w:color w:val="000000" w:themeColor="text1"/>
          <w:sz w:val="35"/>
          <w:szCs w:val="35"/>
          <w:bdr w:val="none" w:sz="0" w:space="0" w:color="auto" w:frame="1"/>
        </w:rPr>
        <w:t>text{</w:t>
      </w:r>
      <w:proofErr w:type="gramEnd"/>
      <w:r w:rsidRPr="007539CE">
        <w:rPr>
          <w:rStyle w:val="katex-mathml"/>
          <w:color w:val="000000" w:themeColor="text1"/>
          <w:sz w:val="35"/>
          <w:szCs w:val="35"/>
          <w:bdr w:val="none" w:sz="0" w:space="0" w:color="auto" w:frame="1"/>
        </w:rPr>
        <w:t>Sharpe ratio} = \</w:t>
      </w:r>
      <w:proofErr w:type="spellStart"/>
      <w:r w:rsidRPr="007539CE">
        <w:rPr>
          <w:rStyle w:val="katex-mathml"/>
          <w:color w:val="000000" w:themeColor="text1"/>
          <w:sz w:val="35"/>
          <w:szCs w:val="35"/>
          <w:bdr w:val="none" w:sz="0" w:space="0" w:color="auto" w:frame="1"/>
        </w:rPr>
        <w:t>frac</w:t>
      </w:r>
      <w:proofErr w:type="spellEnd"/>
      <w:r w:rsidRPr="007539CE">
        <w:rPr>
          <w:rStyle w:val="katex-mathml"/>
          <w:color w:val="000000" w:themeColor="text1"/>
          <w:sz w:val="35"/>
          <w:szCs w:val="35"/>
          <w:bdr w:val="none" w:sz="0" w:space="0" w:color="auto" w:frame="1"/>
        </w:rPr>
        <w:t>{PR - RFR}{SD}\\ &amp;\</w:t>
      </w:r>
      <w:proofErr w:type="spellStart"/>
      <w:r w:rsidRPr="007539CE">
        <w:rPr>
          <w:rStyle w:val="katex-mathml"/>
          <w:color w:val="000000" w:themeColor="text1"/>
          <w:sz w:val="35"/>
          <w:szCs w:val="35"/>
          <w:bdr w:val="none" w:sz="0" w:space="0" w:color="auto" w:frame="1"/>
        </w:rPr>
        <w:t>textbf</w:t>
      </w:r>
      <w:proofErr w:type="spellEnd"/>
      <w:r w:rsidRPr="007539CE">
        <w:rPr>
          <w:rStyle w:val="katex-mathml"/>
          <w:color w:val="000000" w:themeColor="text1"/>
          <w:sz w:val="35"/>
          <w:szCs w:val="35"/>
          <w:bdr w:val="none" w:sz="0" w:space="0" w:color="auto" w:frame="1"/>
        </w:rPr>
        <w:t>{where:}\\ &amp;PR=\text{portfolio return}\\ &amp;RFR=\text{risk-free rate}\\ &amp;SD=\text{standard deviation}\\ \end{aligned}</w:t>
      </w:r>
      <w:r w:rsidRPr="007539CE">
        <w:rPr>
          <w:rStyle w:val="vlist-s"/>
          <w:color w:val="000000" w:themeColor="text1"/>
          <w:sz w:val="2"/>
          <w:szCs w:val="2"/>
        </w:rPr>
        <w:t>​</w:t>
      </w:r>
      <w:r w:rsidRPr="007539CE">
        <w:rPr>
          <w:rStyle w:val="mord"/>
          <w:color w:val="000000" w:themeColor="text1"/>
          <w:sz w:val="35"/>
          <w:szCs w:val="35"/>
        </w:rPr>
        <w:t>Sharpe ratio</w:t>
      </w:r>
      <w:r w:rsidRPr="007539CE">
        <w:rPr>
          <w:rStyle w:val="mrel"/>
          <w:color w:val="000000" w:themeColor="text1"/>
          <w:sz w:val="35"/>
          <w:szCs w:val="35"/>
        </w:rPr>
        <w:t>=</w:t>
      </w:r>
      <w:r w:rsidRPr="007539CE">
        <w:rPr>
          <w:rStyle w:val="mord"/>
          <w:rFonts w:ascii="KaTeX_Math" w:hAnsi="KaTeX_Math"/>
          <w:i/>
          <w:iCs/>
          <w:color w:val="000000" w:themeColor="text1"/>
          <w:sz w:val="35"/>
          <w:szCs w:val="35"/>
        </w:rPr>
        <w:t>SDPR</w:t>
      </w:r>
      <w:r w:rsidRPr="007539CE">
        <w:rPr>
          <w:rStyle w:val="mbin"/>
          <w:color w:val="000000" w:themeColor="text1"/>
          <w:sz w:val="35"/>
          <w:szCs w:val="35"/>
        </w:rPr>
        <w:t>−</w:t>
      </w:r>
      <w:r w:rsidRPr="007539CE">
        <w:rPr>
          <w:rStyle w:val="mord"/>
          <w:rFonts w:ascii="KaTeX_Math" w:hAnsi="KaTeX_Math"/>
          <w:i/>
          <w:iCs/>
          <w:color w:val="000000" w:themeColor="text1"/>
          <w:sz w:val="35"/>
          <w:szCs w:val="35"/>
        </w:rPr>
        <w:t>RFR</w:t>
      </w:r>
      <w:r w:rsidRPr="007539CE">
        <w:rPr>
          <w:rStyle w:val="vlist-s"/>
          <w:color w:val="000000" w:themeColor="text1"/>
          <w:sz w:val="2"/>
          <w:szCs w:val="2"/>
        </w:rPr>
        <w:t>​</w:t>
      </w:r>
      <w:r w:rsidRPr="007539CE">
        <w:rPr>
          <w:rStyle w:val="mord"/>
          <w:b/>
          <w:bCs/>
          <w:color w:val="000000" w:themeColor="text1"/>
          <w:sz w:val="35"/>
          <w:szCs w:val="35"/>
        </w:rPr>
        <w:t>where:</w:t>
      </w:r>
      <w:r w:rsidRPr="007539CE">
        <w:rPr>
          <w:rStyle w:val="mord"/>
          <w:rFonts w:ascii="KaTeX_Math" w:hAnsi="KaTeX_Math"/>
          <w:i/>
          <w:iCs/>
          <w:color w:val="000000" w:themeColor="text1"/>
          <w:sz w:val="35"/>
          <w:szCs w:val="35"/>
        </w:rPr>
        <w:t>PR</w:t>
      </w:r>
      <w:r w:rsidRPr="007539CE">
        <w:rPr>
          <w:rStyle w:val="mrel"/>
          <w:color w:val="000000" w:themeColor="text1"/>
          <w:sz w:val="35"/>
          <w:szCs w:val="35"/>
        </w:rPr>
        <w:t>=</w:t>
      </w:r>
      <w:r w:rsidRPr="007539CE">
        <w:rPr>
          <w:rStyle w:val="mord"/>
          <w:color w:val="000000" w:themeColor="text1"/>
          <w:sz w:val="35"/>
          <w:szCs w:val="35"/>
        </w:rPr>
        <w:t>portfolio return</w:t>
      </w:r>
      <w:r w:rsidRPr="007539CE">
        <w:rPr>
          <w:rStyle w:val="mord"/>
          <w:rFonts w:ascii="KaTeX_Math" w:hAnsi="KaTeX_Math"/>
          <w:i/>
          <w:iCs/>
          <w:color w:val="000000" w:themeColor="text1"/>
          <w:sz w:val="35"/>
          <w:szCs w:val="35"/>
        </w:rPr>
        <w:t>RFR</w:t>
      </w:r>
      <w:r w:rsidRPr="007539CE">
        <w:rPr>
          <w:rStyle w:val="mrel"/>
          <w:color w:val="000000" w:themeColor="text1"/>
          <w:sz w:val="35"/>
          <w:szCs w:val="35"/>
        </w:rPr>
        <w:t>=</w:t>
      </w:r>
      <w:r w:rsidRPr="007539CE">
        <w:rPr>
          <w:rStyle w:val="mord"/>
          <w:color w:val="000000" w:themeColor="text1"/>
          <w:sz w:val="35"/>
          <w:szCs w:val="35"/>
        </w:rPr>
        <w:t>risk-free rate</w:t>
      </w:r>
      <w:r w:rsidRPr="007539CE">
        <w:rPr>
          <w:rStyle w:val="mord"/>
          <w:rFonts w:ascii="KaTeX_Math" w:hAnsi="KaTeX_Math"/>
          <w:i/>
          <w:iCs/>
          <w:color w:val="000000" w:themeColor="text1"/>
          <w:sz w:val="35"/>
          <w:szCs w:val="35"/>
        </w:rPr>
        <w:t>SD</w:t>
      </w:r>
      <w:r w:rsidRPr="007539CE">
        <w:rPr>
          <w:rStyle w:val="mrel"/>
          <w:color w:val="000000" w:themeColor="text1"/>
          <w:sz w:val="35"/>
          <w:szCs w:val="35"/>
        </w:rPr>
        <w:t>=</w:t>
      </w:r>
      <w:r w:rsidRPr="007539CE">
        <w:rPr>
          <w:rStyle w:val="mord"/>
          <w:color w:val="000000" w:themeColor="text1"/>
          <w:sz w:val="35"/>
          <w:szCs w:val="35"/>
        </w:rPr>
        <w:t>standard deviation</w:t>
      </w:r>
      <w:r w:rsidRPr="007539CE">
        <w:rPr>
          <w:rStyle w:val="vlist-s"/>
          <w:color w:val="000000" w:themeColor="text1"/>
          <w:sz w:val="2"/>
          <w:szCs w:val="2"/>
        </w:rPr>
        <w:t>​</w:t>
      </w:r>
      <w:r w:rsidRPr="007539CE">
        <w:rPr>
          <w:rFonts w:ascii="Arial" w:hAnsi="Arial" w:cs="Arial"/>
          <w:color w:val="000000" w:themeColor="text1"/>
          <w:sz w:val="29"/>
          <w:szCs w:val="29"/>
        </w:rPr>
        <w:t>﻿</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Using 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example from above, and assuming that the </w:t>
      </w:r>
      <w:hyperlink r:id="rId107" w:history="1">
        <w:r w:rsidRPr="007539CE">
          <w:rPr>
            <w:rStyle w:val="Hyperlink"/>
            <w:rFonts w:ascii="Arial" w:hAnsi="Arial" w:cs="Arial"/>
            <w:color w:val="000000" w:themeColor="text1"/>
            <w:sz w:val="29"/>
            <w:szCs w:val="29"/>
          </w:rPr>
          <w:t>S&amp;P 500</w:t>
        </w:r>
      </w:hyperlink>
      <w:r w:rsidRPr="007539CE">
        <w:rPr>
          <w:rFonts w:ascii="Arial" w:hAnsi="Arial" w:cs="Arial"/>
          <w:color w:val="000000" w:themeColor="text1"/>
          <w:sz w:val="29"/>
          <w:szCs w:val="29"/>
        </w:rPr>
        <w:t> had a standard deviation of 18% over a 10-year period, we can determine the Sharpe ratios for the following portfolio managers:</w:t>
      </w:r>
    </w:p>
    <w:tbl>
      <w:tblPr>
        <w:tblW w:w="0" w:type="auto"/>
        <w:tblCellMar>
          <w:top w:w="15" w:type="dxa"/>
          <w:left w:w="15" w:type="dxa"/>
          <w:bottom w:w="15" w:type="dxa"/>
          <w:right w:w="15" w:type="dxa"/>
        </w:tblCellMar>
        <w:tblLook w:val="04A0"/>
      </w:tblPr>
      <w:tblGrid>
        <w:gridCol w:w="1221"/>
        <w:gridCol w:w="1546"/>
        <w:gridCol w:w="3001"/>
      </w:tblGrid>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rStyle w:val="Strong"/>
                <w:rFonts w:ascii="Arial" w:hAnsi="Arial" w:cs="Arial"/>
                <w:color w:val="000000" w:themeColor="text1"/>
              </w:rPr>
              <w:t>Manager</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rStyle w:val="Strong"/>
                <w:rFonts w:ascii="Arial" w:hAnsi="Arial" w:cs="Arial"/>
                <w:color w:val="000000" w:themeColor="text1"/>
              </w:rPr>
              <w:t>Annual Return</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rStyle w:val="Strong"/>
                <w:rFonts w:ascii="Arial" w:hAnsi="Arial" w:cs="Arial"/>
                <w:color w:val="000000" w:themeColor="text1"/>
              </w:rPr>
              <w:t>Portfolio Standard Deviation</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Manager X</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14%</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0.11</w:t>
            </w:r>
          </w:p>
        </w:tc>
      </w:tr>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Manager Y</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17%</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0.20</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Manager Z</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19%</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0.27</w:t>
            </w:r>
          </w:p>
        </w:tc>
      </w:tr>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S(market)</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(0.10-0.05)/0.18</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0.278</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S(manager X)</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(0.14-0.05)/0.11 </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0.818</w:t>
            </w:r>
          </w:p>
        </w:tc>
      </w:tr>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S(manager Y)</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(0.17-0.05)/0.20 </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0.600</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S(manager Z)</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(0.19-0.05)/0.27</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0.519</w:t>
            </w:r>
          </w:p>
        </w:tc>
      </w:tr>
    </w:tbl>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Again, we find that the best portfolio is not necessarily the portfolio with the highest return. Instead, a superior portfolio has the superior </w:t>
      </w:r>
      <w:hyperlink r:id="rId108" w:history="1">
        <w:r w:rsidRPr="007539CE">
          <w:rPr>
            <w:rStyle w:val="Hyperlink"/>
            <w:rFonts w:ascii="Arial" w:hAnsi="Arial" w:cs="Arial"/>
            <w:color w:val="000000" w:themeColor="text1"/>
            <w:sz w:val="29"/>
            <w:szCs w:val="29"/>
          </w:rPr>
          <w:t>risk-adjusted return</w:t>
        </w:r>
      </w:hyperlink>
      <w:r w:rsidRPr="007539CE">
        <w:rPr>
          <w:rFonts w:ascii="Arial" w:hAnsi="Arial" w:cs="Arial"/>
          <w:color w:val="000000" w:themeColor="text1"/>
          <w:sz w:val="29"/>
          <w:szCs w:val="29"/>
        </w:rPr>
        <w:t> or, in this case, the fund headed by manager X.</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Unlike 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measure, the Sharpe ratio evaluates the portfolio manager on the basis of both the </w:t>
      </w:r>
      <w:hyperlink r:id="rId109" w:history="1">
        <w:r w:rsidRPr="007539CE">
          <w:rPr>
            <w:rStyle w:val="Hyperlink"/>
            <w:rFonts w:ascii="Arial" w:hAnsi="Arial" w:cs="Arial"/>
            <w:color w:val="000000" w:themeColor="text1"/>
            <w:sz w:val="29"/>
            <w:szCs w:val="29"/>
          </w:rPr>
          <w:t>rate of return</w:t>
        </w:r>
      </w:hyperlink>
      <w:r w:rsidRPr="007539CE">
        <w:rPr>
          <w:rFonts w:ascii="Arial" w:hAnsi="Arial" w:cs="Arial"/>
          <w:color w:val="000000" w:themeColor="text1"/>
          <w:sz w:val="29"/>
          <w:szCs w:val="29"/>
        </w:rPr>
        <w:t> and diversification (it considers total portfolio risk as measured by the standard deviation in its denominator). Therefore, the Sharpe ratio is more appropriate for </w:t>
      </w:r>
      <w:hyperlink r:id="rId110" w:history="1">
        <w:r w:rsidRPr="007539CE">
          <w:rPr>
            <w:rStyle w:val="Hyperlink"/>
            <w:rFonts w:ascii="Arial" w:hAnsi="Arial" w:cs="Arial"/>
            <w:color w:val="000000" w:themeColor="text1"/>
            <w:sz w:val="29"/>
            <w:szCs w:val="29"/>
          </w:rPr>
          <w:t>well-diversified</w:t>
        </w:r>
      </w:hyperlink>
      <w:r w:rsidRPr="007539CE">
        <w:rPr>
          <w:rFonts w:ascii="Arial" w:hAnsi="Arial" w:cs="Arial"/>
          <w:color w:val="000000" w:themeColor="text1"/>
          <w:sz w:val="29"/>
          <w:szCs w:val="29"/>
        </w:rPr>
        <w:t> portfolios because it more accurately takes into account the risks of the portfolio.</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Jensen Measure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Similar to the previous performance measures discussed, the Jensen measure is calculated using the CAPM. Named after its creator, Michael C. Jensen, the Jensen measure calculates the excess return that a portfolio generates over its </w:t>
      </w:r>
      <w:hyperlink r:id="rId111" w:history="1">
        <w:r w:rsidRPr="007539CE">
          <w:rPr>
            <w:rStyle w:val="Hyperlink"/>
            <w:rFonts w:ascii="Arial" w:hAnsi="Arial" w:cs="Arial"/>
            <w:color w:val="000000" w:themeColor="text1"/>
            <w:sz w:val="29"/>
            <w:szCs w:val="29"/>
          </w:rPr>
          <w:t>expected return</w:t>
        </w:r>
      </w:hyperlink>
      <w:r w:rsidRPr="007539CE">
        <w:rPr>
          <w:rFonts w:ascii="Arial" w:hAnsi="Arial" w:cs="Arial"/>
          <w:color w:val="000000" w:themeColor="text1"/>
          <w:sz w:val="29"/>
          <w:szCs w:val="29"/>
        </w:rPr>
        <w:t>. This measure of return is also known as </w:t>
      </w:r>
      <w:hyperlink r:id="rId112" w:history="1">
        <w:r w:rsidRPr="007539CE">
          <w:rPr>
            <w:rStyle w:val="Hyperlink"/>
            <w:rFonts w:ascii="Arial" w:hAnsi="Arial" w:cs="Arial"/>
            <w:color w:val="000000" w:themeColor="text1"/>
            <w:sz w:val="29"/>
            <w:szCs w:val="29"/>
          </w:rPr>
          <w:t>alpha</w:t>
        </w:r>
      </w:hyperlink>
      <w:r w:rsidRPr="007539CE">
        <w:rPr>
          <w:rFonts w:ascii="Arial" w:hAnsi="Arial" w:cs="Arial"/>
          <w:color w:val="000000" w:themeColor="text1"/>
          <w:sz w:val="29"/>
          <w:szCs w:val="29"/>
        </w:rPr>
        <w:t>.</w:t>
      </w:r>
      <w:r w:rsidRPr="007539CE">
        <w:rPr>
          <w:rStyle w:val="mntl-inline-citation"/>
          <w:rFonts w:ascii="Arial" w:hAnsi="Arial" w:cs="Arial"/>
          <w:color w:val="000000" w:themeColor="text1"/>
          <w:spacing w:val="17"/>
          <w:sz w:val="22"/>
          <w:szCs w:val="22"/>
          <w:vertAlign w:val="superscript"/>
        </w:rPr>
        <w:t>4</w:t>
      </w:r>
      <w:r w:rsidRPr="007539CE">
        <w:rPr>
          <w:rFonts w:ascii="Arial" w:hAnsi="Arial" w:cs="Arial"/>
          <w:color w:val="000000" w:themeColor="text1"/>
          <w:sz w:val="29"/>
          <w:szCs w:val="29"/>
        </w:rPr>
        <w:t>﻿</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lastRenderedPageBreak/>
        <w:t>The Jensen ratio measures how much of the portfolio's rate of return is attributable to the manager's ability to deliver above-average returns, adjusted for </w:t>
      </w:r>
      <w:hyperlink r:id="rId113" w:history="1">
        <w:r w:rsidRPr="007539CE">
          <w:rPr>
            <w:rStyle w:val="Hyperlink"/>
            <w:rFonts w:ascii="Arial" w:hAnsi="Arial" w:cs="Arial"/>
            <w:color w:val="000000" w:themeColor="text1"/>
            <w:sz w:val="29"/>
            <w:szCs w:val="29"/>
          </w:rPr>
          <w:t>market risk</w:t>
        </w:r>
      </w:hyperlink>
      <w:r w:rsidRPr="007539CE">
        <w:rPr>
          <w:rFonts w:ascii="Arial" w:hAnsi="Arial" w:cs="Arial"/>
          <w:color w:val="000000" w:themeColor="text1"/>
          <w:sz w:val="29"/>
          <w:szCs w:val="29"/>
        </w:rPr>
        <w:t>. The higher the ratio, the better the risk-adjusted returns. A portfolio with a consistently positive excess return will have a positive alpha while a portfolio with a consistently negative excess return will have a negative alpha.</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formula is broken down as follows:</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Style w:val="katex-mathml"/>
          <w:color w:val="000000" w:themeColor="text1"/>
          <w:sz w:val="35"/>
          <w:szCs w:val="35"/>
          <w:bdr w:val="none" w:sz="0" w:space="0" w:color="auto" w:frame="1"/>
        </w:rPr>
        <w:t>\begin{aligned} &amp;\text{Jenson's alpha} = PR - CAPM \\ &amp;\</w:t>
      </w:r>
      <w:proofErr w:type="spellStart"/>
      <w:r w:rsidRPr="007539CE">
        <w:rPr>
          <w:rStyle w:val="katex-mathml"/>
          <w:color w:val="000000" w:themeColor="text1"/>
          <w:sz w:val="35"/>
          <w:szCs w:val="35"/>
          <w:bdr w:val="none" w:sz="0" w:space="0" w:color="auto" w:frame="1"/>
        </w:rPr>
        <w:t>textbf</w:t>
      </w:r>
      <w:proofErr w:type="spellEnd"/>
      <w:r w:rsidRPr="007539CE">
        <w:rPr>
          <w:rStyle w:val="katex-mathml"/>
          <w:color w:val="000000" w:themeColor="text1"/>
          <w:sz w:val="35"/>
          <w:szCs w:val="35"/>
          <w:bdr w:val="none" w:sz="0" w:space="0" w:color="auto" w:frame="1"/>
        </w:rPr>
        <w:t>{where:}\\ &amp;PR=\text{portfolio return}\\ &amp;CAPM=\text{risk-free rate} + \beta(\text{return of market risk-free rate of return})\\ \end{aligned}</w:t>
      </w:r>
      <w:r w:rsidRPr="007539CE">
        <w:rPr>
          <w:rStyle w:val="vlist-s"/>
          <w:color w:val="000000" w:themeColor="text1"/>
          <w:sz w:val="2"/>
          <w:szCs w:val="2"/>
        </w:rPr>
        <w:t>​</w:t>
      </w:r>
      <w:r w:rsidRPr="007539CE">
        <w:rPr>
          <w:rStyle w:val="mord"/>
          <w:color w:val="000000" w:themeColor="text1"/>
          <w:sz w:val="35"/>
          <w:szCs w:val="35"/>
        </w:rPr>
        <w:t>Jenson’s alpha</w:t>
      </w:r>
      <w:r w:rsidRPr="007539CE">
        <w:rPr>
          <w:rStyle w:val="mrel"/>
          <w:color w:val="000000" w:themeColor="text1"/>
          <w:sz w:val="35"/>
          <w:szCs w:val="35"/>
        </w:rPr>
        <w:t>=</w:t>
      </w:r>
      <w:r w:rsidRPr="007539CE">
        <w:rPr>
          <w:rStyle w:val="mord"/>
          <w:rFonts w:ascii="KaTeX_Math" w:hAnsi="KaTeX_Math"/>
          <w:i/>
          <w:iCs/>
          <w:color w:val="000000" w:themeColor="text1"/>
          <w:sz w:val="35"/>
          <w:szCs w:val="35"/>
        </w:rPr>
        <w:t>PR</w:t>
      </w:r>
      <w:r w:rsidRPr="007539CE">
        <w:rPr>
          <w:rStyle w:val="mbin"/>
          <w:color w:val="000000" w:themeColor="text1"/>
          <w:sz w:val="35"/>
          <w:szCs w:val="35"/>
        </w:rPr>
        <w:t>−</w:t>
      </w:r>
      <w:r w:rsidRPr="007539CE">
        <w:rPr>
          <w:rStyle w:val="mord"/>
          <w:rFonts w:ascii="KaTeX_Math" w:hAnsi="KaTeX_Math"/>
          <w:i/>
          <w:iCs/>
          <w:color w:val="000000" w:themeColor="text1"/>
          <w:sz w:val="35"/>
          <w:szCs w:val="35"/>
        </w:rPr>
        <w:t>CAPM</w:t>
      </w:r>
      <w:r w:rsidRPr="007539CE">
        <w:rPr>
          <w:rStyle w:val="mord"/>
          <w:b/>
          <w:bCs/>
          <w:color w:val="000000" w:themeColor="text1"/>
          <w:sz w:val="35"/>
          <w:szCs w:val="35"/>
        </w:rPr>
        <w:t>where:</w:t>
      </w:r>
      <w:r w:rsidRPr="007539CE">
        <w:rPr>
          <w:rStyle w:val="mord"/>
          <w:rFonts w:ascii="KaTeX_Math" w:hAnsi="KaTeX_Math"/>
          <w:i/>
          <w:iCs/>
          <w:color w:val="000000" w:themeColor="text1"/>
          <w:sz w:val="35"/>
          <w:szCs w:val="35"/>
        </w:rPr>
        <w:t>PR</w:t>
      </w:r>
      <w:r w:rsidRPr="007539CE">
        <w:rPr>
          <w:rStyle w:val="mrel"/>
          <w:color w:val="000000" w:themeColor="text1"/>
          <w:sz w:val="35"/>
          <w:szCs w:val="35"/>
        </w:rPr>
        <w:t>=</w:t>
      </w:r>
      <w:r w:rsidRPr="007539CE">
        <w:rPr>
          <w:rStyle w:val="mord"/>
          <w:color w:val="000000" w:themeColor="text1"/>
          <w:sz w:val="35"/>
          <w:szCs w:val="35"/>
        </w:rPr>
        <w:t>portfolio return</w:t>
      </w:r>
      <w:r w:rsidRPr="007539CE">
        <w:rPr>
          <w:rStyle w:val="mord"/>
          <w:rFonts w:ascii="KaTeX_Math" w:hAnsi="KaTeX_Math"/>
          <w:i/>
          <w:iCs/>
          <w:color w:val="000000" w:themeColor="text1"/>
          <w:sz w:val="35"/>
          <w:szCs w:val="35"/>
        </w:rPr>
        <w:t>CAPM</w:t>
      </w:r>
      <w:r w:rsidRPr="007539CE">
        <w:rPr>
          <w:rStyle w:val="mrel"/>
          <w:color w:val="000000" w:themeColor="text1"/>
          <w:sz w:val="35"/>
          <w:szCs w:val="35"/>
        </w:rPr>
        <w:t>=</w:t>
      </w:r>
      <w:r w:rsidRPr="007539CE">
        <w:rPr>
          <w:rStyle w:val="mord"/>
          <w:color w:val="000000" w:themeColor="text1"/>
          <w:sz w:val="35"/>
          <w:szCs w:val="35"/>
        </w:rPr>
        <w:t>risk-free rate</w:t>
      </w:r>
      <w:r w:rsidRPr="007539CE">
        <w:rPr>
          <w:rStyle w:val="mbin"/>
          <w:color w:val="000000" w:themeColor="text1"/>
          <w:sz w:val="35"/>
          <w:szCs w:val="35"/>
        </w:rPr>
        <w:t>+</w:t>
      </w:r>
      <w:r w:rsidRPr="007539CE">
        <w:rPr>
          <w:rStyle w:val="mord"/>
          <w:rFonts w:ascii="KaTeX_Math" w:hAnsi="KaTeX_Math"/>
          <w:i/>
          <w:iCs/>
          <w:color w:val="000000" w:themeColor="text1"/>
          <w:sz w:val="35"/>
          <w:szCs w:val="35"/>
        </w:rPr>
        <w:t>β</w:t>
      </w:r>
      <w:r w:rsidRPr="007539CE">
        <w:rPr>
          <w:rStyle w:val="mopen"/>
          <w:rFonts w:eastAsiaTheme="majorEastAsia"/>
          <w:color w:val="000000" w:themeColor="text1"/>
          <w:sz w:val="35"/>
          <w:szCs w:val="35"/>
        </w:rPr>
        <w:t>(</w:t>
      </w:r>
      <w:r w:rsidRPr="007539CE">
        <w:rPr>
          <w:rStyle w:val="mord"/>
          <w:color w:val="000000" w:themeColor="text1"/>
          <w:sz w:val="35"/>
          <w:szCs w:val="35"/>
        </w:rPr>
        <w:t>return of market risk-free rate of return</w:t>
      </w:r>
      <w:r w:rsidRPr="007539CE">
        <w:rPr>
          <w:rStyle w:val="mclose"/>
          <w:color w:val="000000" w:themeColor="text1"/>
          <w:sz w:val="35"/>
          <w:szCs w:val="35"/>
        </w:rPr>
        <w:t>)</w:t>
      </w:r>
      <w:r w:rsidRPr="007539CE">
        <w:rPr>
          <w:rStyle w:val="vlist-s"/>
          <w:color w:val="000000" w:themeColor="text1"/>
          <w:sz w:val="2"/>
          <w:szCs w:val="2"/>
        </w:rPr>
        <w:t>​</w:t>
      </w:r>
      <w:r w:rsidRPr="007539CE">
        <w:rPr>
          <w:rFonts w:ascii="Arial" w:hAnsi="Arial" w:cs="Arial"/>
          <w:color w:val="000000" w:themeColor="text1"/>
          <w:sz w:val="29"/>
          <w:szCs w:val="29"/>
        </w:rPr>
        <w:t>﻿</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If we assume a risk-free rate of 5% and a market return of 10%, what is the alpha for the following funds?</w:t>
      </w:r>
    </w:p>
    <w:tbl>
      <w:tblPr>
        <w:tblW w:w="0" w:type="auto"/>
        <w:tblCellMar>
          <w:top w:w="15" w:type="dxa"/>
          <w:left w:w="15" w:type="dxa"/>
          <w:bottom w:w="15" w:type="dxa"/>
          <w:right w:w="15" w:type="dxa"/>
        </w:tblCellMar>
        <w:tblLook w:val="04A0"/>
      </w:tblPr>
      <w:tblGrid>
        <w:gridCol w:w="1020"/>
        <w:gridCol w:w="2475"/>
        <w:gridCol w:w="507"/>
      </w:tblGrid>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rStyle w:val="Strong"/>
                <w:rFonts w:ascii="Arial" w:hAnsi="Arial" w:cs="Arial"/>
                <w:color w:val="000000" w:themeColor="text1"/>
              </w:rPr>
              <w:t>Manager</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rStyle w:val="Strong"/>
                <w:rFonts w:ascii="Arial" w:hAnsi="Arial" w:cs="Arial"/>
                <w:color w:val="000000" w:themeColor="text1"/>
              </w:rPr>
              <w:t>Average Annual Return</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rStyle w:val="Strong"/>
                <w:rFonts w:ascii="Arial" w:hAnsi="Arial" w:cs="Arial"/>
                <w:color w:val="000000" w:themeColor="text1"/>
              </w:rPr>
              <w:t>Beta</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Manager D</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11%</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0.90</w:t>
            </w:r>
          </w:p>
        </w:tc>
      </w:tr>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Manager E</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15%</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1.10</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Manager F</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15%</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1.20</w:t>
            </w:r>
          </w:p>
        </w:tc>
      </w:tr>
    </w:tbl>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We calculate the portfolio's expected return:</w:t>
      </w:r>
    </w:p>
    <w:tbl>
      <w:tblPr>
        <w:tblW w:w="0" w:type="auto"/>
        <w:tblCellMar>
          <w:top w:w="15" w:type="dxa"/>
          <w:left w:w="15" w:type="dxa"/>
          <w:bottom w:w="15" w:type="dxa"/>
          <w:right w:w="15" w:type="dxa"/>
        </w:tblCellMar>
        <w:tblLook w:val="04A0"/>
      </w:tblPr>
      <w:tblGrid>
        <w:gridCol w:w="526"/>
        <w:gridCol w:w="2100"/>
        <w:gridCol w:w="2101"/>
      </w:tblGrid>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ER(D)</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0.05 + 0.90 (0.10-0.05) </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0.0950 or 9.5% return</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ER(E)</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0.05 + 1.10 (0.10-0.05) </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0.1050 or 10.5% return</w:t>
            </w:r>
          </w:p>
        </w:tc>
      </w:tr>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ER(F)</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0.05 + 1.20 (0.10-0.05) </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0.1100 or 11% return</w:t>
            </w:r>
          </w:p>
        </w:tc>
      </w:tr>
    </w:tbl>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We calculate the portfolio's alpha by subtracting the expected return of the portfolio from the </w:t>
      </w:r>
      <w:hyperlink r:id="rId114" w:history="1">
        <w:r w:rsidRPr="007539CE">
          <w:rPr>
            <w:rStyle w:val="Hyperlink"/>
            <w:rFonts w:ascii="Arial" w:hAnsi="Arial" w:cs="Arial"/>
            <w:color w:val="000000" w:themeColor="text1"/>
            <w:sz w:val="29"/>
            <w:szCs w:val="29"/>
          </w:rPr>
          <w:t>actual return</w:t>
        </w:r>
      </w:hyperlink>
      <w:r w:rsidRPr="007539CE">
        <w:rPr>
          <w:rFonts w:ascii="Arial" w:hAnsi="Arial" w:cs="Arial"/>
          <w:color w:val="000000" w:themeColor="text1"/>
          <w:sz w:val="29"/>
          <w:szCs w:val="29"/>
        </w:rPr>
        <w:t>:</w:t>
      </w:r>
    </w:p>
    <w:tbl>
      <w:tblPr>
        <w:tblW w:w="0" w:type="auto"/>
        <w:tblCellMar>
          <w:top w:w="15" w:type="dxa"/>
          <w:left w:w="15" w:type="dxa"/>
          <w:bottom w:w="15" w:type="dxa"/>
          <w:right w:w="15" w:type="dxa"/>
        </w:tblCellMar>
        <w:tblLook w:val="04A0"/>
      </w:tblPr>
      <w:tblGrid>
        <w:gridCol w:w="730"/>
        <w:gridCol w:w="1125"/>
        <w:gridCol w:w="466"/>
      </w:tblGrid>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Alpha D</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11%- 9.5% </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1.5%</w:t>
            </w:r>
          </w:p>
        </w:tc>
      </w:tr>
      <w:tr w:rsidR="007539CE" w:rsidRPr="007539CE" w:rsidTr="007539CE">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Alpha E</w:t>
            </w:r>
          </w:p>
        </w:tc>
        <w:tc>
          <w:tcPr>
            <w:tcW w:w="0" w:type="auto"/>
            <w:tcBorders>
              <w:top w:val="nil"/>
              <w:bottom w:val="nil"/>
              <w:right w:val="single" w:sz="6" w:space="0" w:color="D4D4D4"/>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15%- 10.5% </w:t>
            </w:r>
          </w:p>
        </w:tc>
        <w:tc>
          <w:tcPr>
            <w:tcW w:w="0" w:type="auto"/>
            <w:tcBorders>
              <w:top w:val="nil"/>
              <w:bottom w:val="nil"/>
              <w:right w:val="nil"/>
            </w:tcBorders>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4.5%</w:t>
            </w:r>
          </w:p>
        </w:tc>
      </w:tr>
      <w:tr w:rsidR="007539CE" w:rsidRPr="007539CE" w:rsidTr="007539CE">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Alpha F</w:t>
            </w:r>
          </w:p>
        </w:tc>
        <w:tc>
          <w:tcPr>
            <w:tcW w:w="0" w:type="auto"/>
            <w:tcBorders>
              <w:top w:val="nil"/>
              <w:bottom w:val="nil"/>
              <w:right w:val="single" w:sz="6" w:space="0" w:color="D4D4D4"/>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15%- 11% </w:t>
            </w:r>
          </w:p>
        </w:tc>
        <w:tc>
          <w:tcPr>
            <w:tcW w:w="0" w:type="auto"/>
            <w:tcBorders>
              <w:top w:val="nil"/>
              <w:bottom w:val="nil"/>
              <w:right w:val="nil"/>
            </w:tcBorders>
            <w:shd w:val="clear" w:color="auto" w:fill="F5F5F6"/>
            <w:vAlign w:val="center"/>
            <w:hideMark/>
          </w:tcPr>
          <w:p w:rsidR="007539CE" w:rsidRPr="007539CE" w:rsidRDefault="007539CE" w:rsidP="00C46849">
            <w:pPr>
              <w:spacing w:line="240" w:lineRule="auto"/>
              <w:jc w:val="both"/>
              <w:rPr>
                <w:color w:val="000000" w:themeColor="text1"/>
                <w:sz w:val="24"/>
                <w:szCs w:val="24"/>
              </w:rPr>
            </w:pPr>
            <w:r w:rsidRPr="007539CE">
              <w:rPr>
                <w:color w:val="000000" w:themeColor="text1"/>
              </w:rPr>
              <w:t>4.0%</w:t>
            </w:r>
          </w:p>
        </w:tc>
      </w:tr>
    </w:tbl>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Which manager did the best? Manager E did best because although manager F had the same annual return, it was expected that manager </w:t>
      </w:r>
      <w:r w:rsidRPr="007539CE">
        <w:rPr>
          <w:rFonts w:ascii="Arial" w:hAnsi="Arial" w:cs="Arial"/>
          <w:color w:val="000000" w:themeColor="text1"/>
          <w:sz w:val="29"/>
          <w:szCs w:val="29"/>
        </w:rPr>
        <w:lastRenderedPageBreak/>
        <w:t>E would </w:t>
      </w:r>
      <w:hyperlink r:id="rId115" w:history="1">
        <w:r w:rsidRPr="007539CE">
          <w:rPr>
            <w:rStyle w:val="Hyperlink"/>
            <w:rFonts w:ascii="Arial" w:hAnsi="Arial" w:cs="Arial"/>
            <w:color w:val="000000" w:themeColor="text1"/>
            <w:sz w:val="29"/>
            <w:szCs w:val="29"/>
          </w:rPr>
          <w:t>yield</w:t>
        </w:r>
      </w:hyperlink>
      <w:r w:rsidRPr="007539CE">
        <w:rPr>
          <w:rFonts w:ascii="Arial" w:hAnsi="Arial" w:cs="Arial"/>
          <w:color w:val="000000" w:themeColor="text1"/>
          <w:sz w:val="29"/>
          <w:szCs w:val="29"/>
        </w:rPr>
        <w:t> a lower return because the portfolio's beta was significantly lower than that of portfolio F.</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Both the rate of return and risk for securities (or portfolios) will vary by time period. The Jensen measure requires the use of a different risk-free rate of return for each time interval. To evaluate the performance of a fund manager for a five-year period using annual intervals would require also examining the fund's annual returns minus the </w:t>
      </w:r>
      <w:hyperlink r:id="rId116" w:history="1">
        <w:r w:rsidRPr="007539CE">
          <w:rPr>
            <w:rStyle w:val="Hyperlink"/>
            <w:rFonts w:ascii="Arial" w:hAnsi="Arial" w:cs="Arial"/>
            <w:color w:val="000000" w:themeColor="text1"/>
            <w:sz w:val="29"/>
            <w:szCs w:val="29"/>
          </w:rPr>
          <w:t>risk-free return</w:t>
        </w:r>
      </w:hyperlink>
      <w:r w:rsidRPr="007539CE">
        <w:rPr>
          <w:rFonts w:ascii="Arial" w:hAnsi="Arial" w:cs="Arial"/>
          <w:color w:val="000000" w:themeColor="text1"/>
          <w:sz w:val="29"/>
          <w:szCs w:val="29"/>
        </w:rPr>
        <w:t> for each year and relating it to the annual return on the market portfolio minus the same risk-free rate.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Conversely, 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and Sharpe ratios examine average returns for the </w:t>
      </w:r>
      <w:r w:rsidRPr="007539CE">
        <w:rPr>
          <w:rStyle w:val="Emphasis"/>
          <w:rFonts w:ascii="Arial" w:hAnsi="Arial" w:cs="Arial"/>
          <w:color w:val="000000" w:themeColor="text1"/>
          <w:sz w:val="29"/>
          <w:szCs w:val="29"/>
        </w:rPr>
        <w:t>total period</w:t>
      </w:r>
      <w:r w:rsidRPr="007539CE">
        <w:rPr>
          <w:rFonts w:ascii="Arial" w:hAnsi="Arial" w:cs="Arial"/>
          <w:color w:val="000000" w:themeColor="text1"/>
          <w:sz w:val="29"/>
          <w:szCs w:val="29"/>
        </w:rPr>
        <w:t> under consideration for all variables in the formula (the portfolio, market, and risk-free </w:t>
      </w:r>
      <w:hyperlink r:id="rId117" w:history="1">
        <w:r w:rsidRPr="007539CE">
          <w:rPr>
            <w:rStyle w:val="Hyperlink"/>
            <w:rFonts w:ascii="Arial" w:hAnsi="Arial" w:cs="Arial"/>
            <w:color w:val="000000" w:themeColor="text1"/>
            <w:sz w:val="29"/>
            <w:szCs w:val="29"/>
          </w:rPr>
          <w:t>asset</w:t>
        </w:r>
      </w:hyperlink>
      <w:r w:rsidRPr="007539CE">
        <w:rPr>
          <w:rFonts w:ascii="Arial" w:hAnsi="Arial" w:cs="Arial"/>
          <w:color w:val="000000" w:themeColor="text1"/>
          <w:sz w:val="29"/>
          <w:szCs w:val="29"/>
        </w:rPr>
        <w:t xml:space="preserve">). Similar to 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measure, however, Jensen's alpha calculates risk premiums in terms of beta (systematic, </w:t>
      </w:r>
      <w:proofErr w:type="spellStart"/>
      <w:r w:rsidRPr="007539CE">
        <w:rPr>
          <w:rFonts w:ascii="Arial" w:hAnsi="Arial" w:cs="Arial"/>
          <w:color w:val="000000" w:themeColor="text1"/>
          <w:sz w:val="29"/>
          <w:szCs w:val="29"/>
        </w:rPr>
        <w:t>undiversifiable</w:t>
      </w:r>
      <w:proofErr w:type="spellEnd"/>
      <w:r w:rsidRPr="007539CE">
        <w:rPr>
          <w:rFonts w:ascii="Arial" w:hAnsi="Arial" w:cs="Arial"/>
          <w:color w:val="000000" w:themeColor="text1"/>
          <w:sz w:val="29"/>
          <w:szCs w:val="29"/>
        </w:rPr>
        <w:t xml:space="preserve"> risk) and, therefore, assumes the portfolio is already adequately diversified. As a result, this ratio is best applied to an investment such as a </w:t>
      </w:r>
      <w:hyperlink r:id="rId118" w:history="1">
        <w:r w:rsidRPr="007539CE">
          <w:rPr>
            <w:rStyle w:val="Hyperlink"/>
            <w:rFonts w:ascii="Arial" w:hAnsi="Arial" w:cs="Arial"/>
            <w:color w:val="000000" w:themeColor="text1"/>
            <w:sz w:val="29"/>
            <w:szCs w:val="29"/>
          </w:rPr>
          <w:t>mutual fund</w:t>
        </w:r>
      </w:hyperlink>
      <w:r w:rsidRPr="007539CE">
        <w:rPr>
          <w:rFonts w:ascii="Arial" w:hAnsi="Arial" w:cs="Arial"/>
          <w:color w:val="000000" w:themeColor="text1"/>
          <w:sz w:val="29"/>
          <w:szCs w:val="29"/>
        </w:rPr>
        <w:t>.</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The Bottom Line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Portfolio performance measures are a key factor in the investment decision. These tools provide the necessary information for investors to assess how effectively their money has been invested (or may be invested). Remember, portfolio returns are only part of the story. Without evaluating risk-adjusted returns, an investor cannot possibly see the whole </w:t>
      </w:r>
      <w:hyperlink r:id="rId119" w:history="1">
        <w:r w:rsidRPr="007539CE">
          <w:rPr>
            <w:rStyle w:val="Hyperlink"/>
            <w:rFonts w:ascii="Arial" w:hAnsi="Arial" w:cs="Arial"/>
            <w:color w:val="000000" w:themeColor="text1"/>
            <w:sz w:val="29"/>
            <w:szCs w:val="29"/>
          </w:rPr>
          <w:t>investment</w:t>
        </w:r>
      </w:hyperlink>
      <w:r w:rsidRPr="007539CE">
        <w:rPr>
          <w:rFonts w:ascii="Arial" w:hAnsi="Arial" w:cs="Arial"/>
          <w:color w:val="000000" w:themeColor="text1"/>
          <w:sz w:val="29"/>
          <w:szCs w:val="29"/>
        </w:rPr>
        <w:t> picture, which may inadvertently lead to clouded decisions.</w:t>
      </w:r>
    </w:p>
    <w:p w:rsidR="007539CE" w:rsidRPr="007539CE" w:rsidRDefault="007539CE" w:rsidP="00C46849">
      <w:pPr>
        <w:spacing w:line="240" w:lineRule="auto"/>
        <w:jc w:val="both"/>
        <w:rPr>
          <w:color w:val="000000" w:themeColor="text1"/>
        </w:rPr>
      </w:pPr>
      <w:hyperlink r:id="rId120" w:history="1">
        <w:r w:rsidRPr="007539CE">
          <w:rPr>
            <w:rStyle w:val="Hyperlink"/>
            <w:color w:val="000000" w:themeColor="text1"/>
          </w:rPr>
          <w:t>https://www.investopedia.com/terms/s/sharperatio.asp</w:t>
        </w:r>
      </w:hyperlink>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What Is the Sharpe Ratio?</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Sharpe ratio was developed by Nobel laureate </w:t>
      </w:r>
      <w:hyperlink r:id="rId121" w:history="1">
        <w:r w:rsidRPr="007539CE">
          <w:rPr>
            <w:rStyle w:val="Hyperlink"/>
            <w:rFonts w:ascii="Arial" w:hAnsi="Arial" w:cs="Arial"/>
            <w:color w:val="000000" w:themeColor="text1"/>
            <w:sz w:val="29"/>
            <w:szCs w:val="29"/>
          </w:rPr>
          <w:t>William F. Sharpe</w:t>
        </w:r>
      </w:hyperlink>
      <w:r w:rsidRPr="007539CE">
        <w:rPr>
          <w:rFonts w:ascii="Arial" w:hAnsi="Arial" w:cs="Arial"/>
          <w:color w:val="000000" w:themeColor="text1"/>
          <w:sz w:val="29"/>
          <w:szCs w:val="29"/>
        </w:rPr>
        <w:t> and is used to help </w:t>
      </w:r>
      <w:hyperlink r:id="rId122" w:history="1">
        <w:r w:rsidRPr="007539CE">
          <w:rPr>
            <w:rStyle w:val="Hyperlink"/>
            <w:rFonts w:ascii="Arial" w:hAnsi="Arial" w:cs="Arial"/>
            <w:color w:val="000000" w:themeColor="text1"/>
            <w:sz w:val="29"/>
            <w:szCs w:val="29"/>
          </w:rPr>
          <w:t>investors</w:t>
        </w:r>
      </w:hyperlink>
      <w:r w:rsidRPr="007539CE">
        <w:rPr>
          <w:rFonts w:ascii="Arial" w:hAnsi="Arial" w:cs="Arial"/>
          <w:color w:val="000000" w:themeColor="text1"/>
          <w:sz w:val="29"/>
          <w:szCs w:val="29"/>
        </w:rPr>
        <w:t> understand the </w:t>
      </w:r>
      <w:hyperlink r:id="rId123" w:history="1">
        <w:r w:rsidRPr="007539CE">
          <w:rPr>
            <w:rStyle w:val="Hyperlink"/>
            <w:rFonts w:ascii="Arial" w:hAnsi="Arial" w:cs="Arial"/>
            <w:color w:val="000000" w:themeColor="text1"/>
            <w:sz w:val="29"/>
            <w:szCs w:val="29"/>
          </w:rPr>
          <w:t>return of an investment</w:t>
        </w:r>
      </w:hyperlink>
      <w:r w:rsidRPr="007539CE">
        <w:rPr>
          <w:rFonts w:ascii="Arial" w:hAnsi="Arial" w:cs="Arial"/>
          <w:color w:val="000000" w:themeColor="text1"/>
          <w:sz w:val="29"/>
          <w:szCs w:val="29"/>
        </w:rPr>
        <w:t> compared to its risk.</w:t>
      </w:r>
      <w:r w:rsidRPr="007539CE">
        <w:rPr>
          <w:rStyle w:val="mntl-inline-citation"/>
          <w:rFonts w:ascii="Arial" w:hAnsi="Arial" w:cs="Arial"/>
          <w:color w:val="000000" w:themeColor="text1"/>
          <w:spacing w:val="17"/>
          <w:sz w:val="22"/>
          <w:szCs w:val="22"/>
          <w:vertAlign w:val="superscript"/>
        </w:rPr>
        <w:t>1</w:t>
      </w:r>
      <w:r w:rsidRPr="007539CE">
        <w:rPr>
          <w:rFonts w:ascii="Arial" w:hAnsi="Arial" w:cs="Arial"/>
          <w:color w:val="000000" w:themeColor="text1"/>
          <w:sz w:val="29"/>
          <w:szCs w:val="29"/>
        </w:rPr>
        <w:t>﻿﻿</w:t>
      </w:r>
      <w:r w:rsidRPr="007539CE">
        <w:rPr>
          <w:rStyle w:val="mntl-inline-citation"/>
          <w:rFonts w:ascii="Arial" w:hAnsi="Arial" w:cs="Arial"/>
          <w:color w:val="000000" w:themeColor="text1"/>
          <w:spacing w:val="17"/>
          <w:sz w:val="22"/>
          <w:szCs w:val="22"/>
          <w:vertAlign w:val="superscript"/>
        </w:rPr>
        <w:t>2</w:t>
      </w:r>
      <w:r w:rsidRPr="007539CE">
        <w:rPr>
          <w:rFonts w:ascii="Arial" w:hAnsi="Arial" w:cs="Arial"/>
          <w:color w:val="000000" w:themeColor="text1"/>
          <w:sz w:val="29"/>
          <w:szCs w:val="29"/>
        </w:rPr>
        <w:t>﻿ The ratio is the average return earned in excess of the risk-free rate per unit of </w:t>
      </w:r>
      <w:hyperlink r:id="rId124" w:history="1">
        <w:r w:rsidRPr="007539CE">
          <w:rPr>
            <w:rStyle w:val="Hyperlink"/>
            <w:rFonts w:ascii="Arial" w:hAnsi="Arial" w:cs="Arial"/>
            <w:color w:val="000000" w:themeColor="text1"/>
            <w:sz w:val="29"/>
            <w:szCs w:val="29"/>
          </w:rPr>
          <w:t>volatility</w:t>
        </w:r>
      </w:hyperlink>
      <w:r w:rsidRPr="007539CE">
        <w:rPr>
          <w:rFonts w:ascii="Arial" w:hAnsi="Arial" w:cs="Arial"/>
          <w:color w:val="000000" w:themeColor="text1"/>
          <w:sz w:val="29"/>
          <w:szCs w:val="29"/>
        </w:rPr>
        <w:t> or total risk. Volatility is a measure of the price fluctuations of an asset or portfolio.</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Subtracting the risk-free rate from the mean return allows an investor to better isolate the profits associated with risk-taking activities. </w:t>
      </w:r>
      <w:hyperlink r:id="rId125" w:history="1">
        <w:r w:rsidRPr="007539CE">
          <w:rPr>
            <w:rStyle w:val="Hyperlink"/>
            <w:rFonts w:ascii="Arial" w:hAnsi="Arial" w:cs="Arial"/>
            <w:color w:val="000000" w:themeColor="text1"/>
            <w:sz w:val="29"/>
            <w:szCs w:val="29"/>
          </w:rPr>
          <w:t>The risk-free rate of return</w:t>
        </w:r>
      </w:hyperlink>
      <w:r w:rsidRPr="007539CE">
        <w:rPr>
          <w:rFonts w:ascii="Arial" w:hAnsi="Arial" w:cs="Arial"/>
          <w:color w:val="000000" w:themeColor="text1"/>
          <w:sz w:val="29"/>
          <w:szCs w:val="29"/>
        </w:rPr>
        <w:t xml:space="preserve"> is the return on an investment with zero risk, meaning it's the return investors could expect for taking no risk. The </w:t>
      </w:r>
      <w:r w:rsidRPr="007539CE">
        <w:rPr>
          <w:rFonts w:ascii="Arial" w:hAnsi="Arial" w:cs="Arial"/>
          <w:color w:val="000000" w:themeColor="text1"/>
          <w:sz w:val="29"/>
          <w:szCs w:val="29"/>
        </w:rPr>
        <w:lastRenderedPageBreak/>
        <w:t>yield for a U.S. Treasury bond, for example, could be used as the risk-free rate.</w:t>
      </w:r>
    </w:p>
    <w:p w:rsidR="007539CE" w:rsidRPr="007539CE" w:rsidRDefault="007539CE" w:rsidP="00C46849">
      <w:pPr>
        <w:pStyle w:val="comp1"/>
        <w:spacing w:before="0" w:beforeAutospacing="0"/>
        <w:jc w:val="both"/>
        <w:rPr>
          <w:rFonts w:ascii="Arial" w:hAnsi="Arial" w:cs="Arial"/>
          <w:color w:val="000000" w:themeColor="text1"/>
          <w:sz w:val="29"/>
          <w:szCs w:val="29"/>
        </w:rPr>
      </w:pPr>
      <w:proofErr w:type="gramStart"/>
      <w:r w:rsidRPr="007539CE">
        <w:rPr>
          <w:rFonts w:ascii="Arial" w:hAnsi="Arial" w:cs="Arial"/>
          <w:color w:val="000000" w:themeColor="text1"/>
          <w:sz w:val="29"/>
          <w:szCs w:val="29"/>
        </w:rPr>
        <w:t>Generally, the greater the value of the Sharpe ratio, the more attractive the risk-adjusted return.</w:t>
      </w:r>
      <w:proofErr w:type="gramEnd"/>
    </w:p>
    <w:p w:rsidR="007539CE" w:rsidRPr="007539CE" w:rsidRDefault="00CE34A8" w:rsidP="00C46849">
      <w:pPr>
        <w:spacing w:line="240" w:lineRule="auto"/>
        <w:jc w:val="both"/>
        <w:textAlignment w:val="baseline"/>
        <w:rPr>
          <w:rFonts w:ascii="Arial" w:hAnsi="Arial" w:cs="Arial"/>
          <w:color w:val="000000" w:themeColor="text1"/>
          <w:sz w:val="24"/>
          <w:szCs w:val="24"/>
        </w:rPr>
      </w:pPr>
      <w:r>
        <w:rPr>
          <w:rStyle w:val="jw-volume-update"/>
          <w:rFonts w:ascii="Arial" w:hAnsi="Arial" w:cs="Arial"/>
          <w:color w:val="000000" w:themeColor="text1"/>
          <w:sz w:val="27"/>
          <w:szCs w:val="27"/>
        </w:rPr>
        <w:t xml:space="preserve"> </w:t>
      </w:r>
      <w:r w:rsidR="007539CE" w:rsidRPr="007539CE">
        <w:rPr>
          <w:rFonts w:ascii="Arial" w:hAnsi="Arial" w:cs="Arial"/>
          <w:color w:val="000000" w:themeColor="text1"/>
        </w:rPr>
        <w:t>Sharpe Ratio</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Formula and Calculation of Sharpe Ratio</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Style w:val="katex-mathml"/>
          <w:color w:val="000000" w:themeColor="text1"/>
          <w:sz w:val="35"/>
          <w:szCs w:val="35"/>
          <w:bdr w:val="none" w:sz="0" w:space="0" w:color="auto" w:frame="1"/>
        </w:rPr>
        <w:t>\begin{aligned} &amp;\</w:t>
      </w:r>
      <w:proofErr w:type="spellStart"/>
      <w:r w:rsidRPr="007539CE">
        <w:rPr>
          <w:rStyle w:val="katex-mathml"/>
          <w:color w:val="000000" w:themeColor="text1"/>
          <w:sz w:val="35"/>
          <w:szCs w:val="35"/>
          <w:bdr w:val="none" w:sz="0" w:space="0" w:color="auto" w:frame="1"/>
        </w:rPr>
        <w:t>textit</w:t>
      </w:r>
      <w:proofErr w:type="spellEnd"/>
      <w:r w:rsidRPr="007539CE">
        <w:rPr>
          <w:rStyle w:val="katex-mathml"/>
          <w:color w:val="000000" w:themeColor="text1"/>
          <w:sz w:val="35"/>
          <w:szCs w:val="35"/>
          <w:bdr w:val="none" w:sz="0" w:space="0" w:color="auto" w:frame="1"/>
        </w:rPr>
        <w:t>{Sharpe Ratio} = \</w:t>
      </w:r>
      <w:proofErr w:type="spellStart"/>
      <w:r w:rsidRPr="007539CE">
        <w:rPr>
          <w:rStyle w:val="katex-mathml"/>
          <w:color w:val="000000" w:themeColor="text1"/>
          <w:sz w:val="35"/>
          <w:szCs w:val="35"/>
          <w:bdr w:val="none" w:sz="0" w:space="0" w:color="auto" w:frame="1"/>
        </w:rPr>
        <w:t>frac</w:t>
      </w:r>
      <w:proofErr w:type="spellEnd"/>
      <w:r w:rsidRPr="007539CE">
        <w:rPr>
          <w:rStyle w:val="katex-mathml"/>
          <w:color w:val="000000" w:themeColor="text1"/>
          <w:sz w:val="35"/>
          <w:szCs w:val="35"/>
          <w:bdr w:val="none" w:sz="0" w:space="0" w:color="auto" w:frame="1"/>
        </w:rPr>
        <w:t>{</w:t>
      </w:r>
      <w:proofErr w:type="spellStart"/>
      <w:r w:rsidRPr="007539CE">
        <w:rPr>
          <w:rStyle w:val="katex-mathml"/>
          <w:color w:val="000000" w:themeColor="text1"/>
          <w:sz w:val="35"/>
          <w:szCs w:val="35"/>
          <w:bdr w:val="none" w:sz="0" w:space="0" w:color="auto" w:frame="1"/>
        </w:rPr>
        <w:t>R_p</w:t>
      </w:r>
      <w:proofErr w:type="spellEnd"/>
      <w:r w:rsidRPr="007539CE">
        <w:rPr>
          <w:rStyle w:val="katex-mathml"/>
          <w:color w:val="000000" w:themeColor="text1"/>
          <w:sz w:val="35"/>
          <w:szCs w:val="35"/>
          <w:bdr w:val="none" w:sz="0" w:space="0" w:color="auto" w:frame="1"/>
        </w:rPr>
        <w:t xml:space="preserve"> - </w:t>
      </w:r>
      <w:proofErr w:type="spellStart"/>
      <w:r w:rsidRPr="007539CE">
        <w:rPr>
          <w:rStyle w:val="katex-mathml"/>
          <w:color w:val="000000" w:themeColor="text1"/>
          <w:sz w:val="35"/>
          <w:szCs w:val="35"/>
          <w:bdr w:val="none" w:sz="0" w:space="0" w:color="auto" w:frame="1"/>
        </w:rPr>
        <w:t>R_f</w:t>
      </w:r>
      <w:proofErr w:type="spellEnd"/>
      <w:r w:rsidRPr="007539CE">
        <w:rPr>
          <w:rStyle w:val="katex-mathml"/>
          <w:color w:val="000000" w:themeColor="text1"/>
          <w:sz w:val="35"/>
          <w:szCs w:val="35"/>
          <w:bdr w:val="none" w:sz="0" w:space="0" w:color="auto" w:frame="1"/>
        </w:rPr>
        <w:t>}{\</w:t>
      </w:r>
      <w:proofErr w:type="spellStart"/>
      <w:r w:rsidRPr="007539CE">
        <w:rPr>
          <w:rStyle w:val="katex-mathml"/>
          <w:color w:val="000000" w:themeColor="text1"/>
          <w:sz w:val="35"/>
          <w:szCs w:val="35"/>
          <w:bdr w:val="none" w:sz="0" w:space="0" w:color="auto" w:frame="1"/>
        </w:rPr>
        <w:t>sigma_p</w:t>
      </w:r>
      <w:proofErr w:type="spellEnd"/>
      <w:r w:rsidRPr="007539CE">
        <w:rPr>
          <w:rStyle w:val="katex-mathml"/>
          <w:color w:val="000000" w:themeColor="text1"/>
          <w:sz w:val="35"/>
          <w:szCs w:val="35"/>
          <w:bdr w:val="none" w:sz="0" w:space="0" w:color="auto" w:frame="1"/>
        </w:rPr>
        <w:t>}\\ &amp;\</w:t>
      </w:r>
      <w:proofErr w:type="spellStart"/>
      <w:r w:rsidRPr="007539CE">
        <w:rPr>
          <w:rStyle w:val="katex-mathml"/>
          <w:color w:val="000000" w:themeColor="text1"/>
          <w:sz w:val="35"/>
          <w:szCs w:val="35"/>
          <w:bdr w:val="none" w:sz="0" w:space="0" w:color="auto" w:frame="1"/>
        </w:rPr>
        <w:t>textbf</w:t>
      </w:r>
      <w:proofErr w:type="spellEnd"/>
      <w:r w:rsidRPr="007539CE">
        <w:rPr>
          <w:rStyle w:val="katex-mathml"/>
          <w:color w:val="000000" w:themeColor="text1"/>
          <w:sz w:val="35"/>
          <w:szCs w:val="35"/>
          <w:bdr w:val="none" w:sz="0" w:space="0" w:color="auto" w:frame="1"/>
        </w:rPr>
        <w:t>{where:}\\ &amp;R_{p}=\text{return of portfolio}\\ &amp;R_{f} = \text{risk-free rate}\\ &amp;\</w:t>
      </w:r>
      <w:proofErr w:type="spellStart"/>
      <w:r w:rsidRPr="007539CE">
        <w:rPr>
          <w:rStyle w:val="katex-mathml"/>
          <w:color w:val="000000" w:themeColor="text1"/>
          <w:sz w:val="35"/>
          <w:szCs w:val="35"/>
          <w:bdr w:val="none" w:sz="0" w:space="0" w:color="auto" w:frame="1"/>
        </w:rPr>
        <w:t>sigma_p</w:t>
      </w:r>
      <w:proofErr w:type="spellEnd"/>
      <w:r w:rsidRPr="007539CE">
        <w:rPr>
          <w:rStyle w:val="katex-mathml"/>
          <w:color w:val="000000" w:themeColor="text1"/>
          <w:sz w:val="35"/>
          <w:szCs w:val="35"/>
          <w:bdr w:val="none" w:sz="0" w:space="0" w:color="auto" w:frame="1"/>
        </w:rPr>
        <w:t xml:space="preserve"> = \text{standard deviation of the portfolio's excess return}\\ \end{aligned}</w:t>
      </w:r>
      <w:r w:rsidRPr="007539CE">
        <w:rPr>
          <w:rStyle w:val="vlist-s"/>
          <w:color w:val="000000" w:themeColor="text1"/>
          <w:sz w:val="2"/>
          <w:szCs w:val="2"/>
        </w:rPr>
        <w:t>​</w:t>
      </w:r>
      <w:r w:rsidRPr="007539CE">
        <w:rPr>
          <w:rStyle w:val="mord"/>
          <w:i/>
          <w:iCs/>
          <w:color w:val="000000" w:themeColor="text1"/>
          <w:sz w:val="35"/>
          <w:szCs w:val="35"/>
        </w:rPr>
        <w:t>Sharpe Ratio</w:t>
      </w:r>
      <w:r w:rsidRPr="007539CE">
        <w:rPr>
          <w:rStyle w:val="mrel"/>
          <w:color w:val="000000" w:themeColor="text1"/>
          <w:sz w:val="35"/>
          <w:szCs w:val="35"/>
        </w:rPr>
        <w:t>=</w:t>
      </w:r>
      <w:r w:rsidRPr="007539CE">
        <w:rPr>
          <w:rStyle w:val="mord"/>
          <w:rFonts w:ascii="KaTeX_Math" w:hAnsi="KaTeX_Math"/>
          <w:i/>
          <w:iCs/>
          <w:color w:val="000000" w:themeColor="text1"/>
          <w:sz w:val="35"/>
          <w:szCs w:val="35"/>
        </w:rPr>
        <w:t>σ</w:t>
      </w:r>
      <w:r w:rsidRPr="007539CE">
        <w:rPr>
          <w:rStyle w:val="mord"/>
          <w:rFonts w:ascii="KaTeX_Math" w:hAnsi="KaTeX_Math"/>
          <w:i/>
          <w:iCs/>
          <w:color w:val="000000" w:themeColor="text1"/>
          <w:sz w:val="25"/>
          <w:szCs w:val="25"/>
        </w:rPr>
        <w:t>p</w:t>
      </w:r>
      <w:r w:rsidRPr="007539CE">
        <w:rPr>
          <w:rStyle w:val="vlist-s"/>
          <w:color w:val="000000" w:themeColor="text1"/>
          <w:sz w:val="2"/>
          <w:szCs w:val="2"/>
        </w:rPr>
        <w:t>​</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p</w:t>
      </w:r>
      <w:r w:rsidRPr="007539CE">
        <w:rPr>
          <w:rStyle w:val="vlist-s"/>
          <w:color w:val="000000" w:themeColor="text1"/>
          <w:sz w:val="2"/>
          <w:szCs w:val="2"/>
        </w:rPr>
        <w:t>​</w:t>
      </w:r>
      <w:r w:rsidRPr="007539CE">
        <w:rPr>
          <w:rStyle w:val="mbin"/>
          <w:color w:val="000000" w:themeColor="text1"/>
          <w:sz w:val="35"/>
          <w:szCs w:val="35"/>
        </w:rPr>
        <w:t>−</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f</w:t>
      </w:r>
      <w:r w:rsidRPr="007539CE">
        <w:rPr>
          <w:rStyle w:val="vlist-s"/>
          <w:color w:val="000000" w:themeColor="text1"/>
          <w:sz w:val="2"/>
          <w:szCs w:val="2"/>
        </w:rPr>
        <w:t>​​</w:t>
      </w:r>
      <w:r w:rsidRPr="007539CE">
        <w:rPr>
          <w:rStyle w:val="mord"/>
          <w:b/>
          <w:bCs/>
          <w:color w:val="000000" w:themeColor="text1"/>
          <w:sz w:val="35"/>
          <w:szCs w:val="35"/>
        </w:rPr>
        <w:t>where:</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p</w:t>
      </w:r>
      <w:r w:rsidRPr="007539CE">
        <w:rPr>
          <w:rStyle w:val="vlist-s"/>
          <w:color w:val="000000" w:themeColor="text1"/>
          <w:sz w:val="2"/>
          <w:szCs w:val="2"/>
        </w:rPr>
        <w:t>​</w:t>
      </w:r>
      <w:r w:rsidRPr="007539CE">
        <w:rPr>
          <w:rStyle w:val="mrel"/>
          <w:color w:val="000000" w:themeColor="text1"/>
          <w:sz w:val="35"/>
          <w:szCs w:val="35"/>
        </w:rPr>
        <w:t>=</w:t>
      </w:r>
      <w:r w:rsidRPr="007539CE">
        <w:rPr>
          <w:rStyle w:val="mord"/>
          <w:color w:val="000000" w:themeColor="text1"/>
          <w:sz w:val="35"/>
          <w:szCs w:val="35"/>
        </w:rPr>
        <w:t>return of portfolio</w:t>
      </w:r>
      <w:r w:rsidRPr="007539CE">
        <w:rPr>
          <w:rStyle w:val="mord"/>
          <w:rFonts w:ascii="KaTeX_Math" w:hAnsi="KaTeX_Math"/>
          <w:i/>
          <w:iCs/>
          <w:color w:val="000000" w:themeColor="text1"/>
          <w:sz w:val="35"/>
          <w:szCs w:val="35"/>
        </w:rPr>
        <w:t>R</w:t>
      </w:r>
      <w:r w:rsidRPr="007539CE">
        <w:rPr>
          <w:rStyle w:val="mord"/>
          <w:rFonts w:ascii="KaTeX_Math" w:hAnsi="KaTeX_Math"/>
          <w:i/>
          <w:iCs/>
          <w:color w:val="000000" w:themeColor="text1"/>
          <w:sz w:val="25"/>
          <w:szCs w:val="25"/>
        </w:rPr>
        <w:t>f</w:t>
      </w:r>
      <w:r w:rsidRPr="007539CE">
        <w:rPr>
          <w:rStyle w:val="vlist-s"/>
          <w:color w:val="000000" w:themeColor="text1"/>
          <w:sz w:val="2"/>
          <w:szCs w:val="2"/>
        </w:rPr>
        <w:t>​</w:t>
      </w:r>
      <w:r w:rsidRPr="007539CE">
        <w:rPr>
          <w:rStyle w:val="mrel"/>
          <w:color w:val="000000" w:themeColor="text1"/>
          <w:sz w:val="35"/>
          <w:szCs w:val="35"/>
        </w:rPr>
        <w:t>=</w:t>
      </w:r>
      <w:r w:rsidRPr="007539CE">
        <w:rPr>
          <w:rStyle w:val="mord"/>
          <w:color w:val="000000" w:themeColor="text1"/>
          <w:sz w:val="35"/>
          <w:szCs w:val="35"/>
        </w:rPr>
        <w:t>risk-free rate</w:t>
      </w:r>
      <w:r w:rsidRPr="007539CE">
        <w:rPr>
          <w:rStyle w:val="mord"/>
          <w:rFonts w:ascii="KaTeX_Math" w:hAnsi="KaTeX_Math"/>
          <w:i/>
          <w:iCs/>
          <w:color w:val="000000" w:themeColor="text1"/>
          <w:sz w:val="35"/>
          <w:szCs w:val="35"/>
        </w:rPr>
        <w:t>σ</w:t>
      </w:r>
      <w:r w:rsidRPr="007539CE">
        <w:rPr>
          <w:rStyle w:val="mord"/>
          <w:rFonts w:ascii="KaTeX_Math" w:hAnsi="KaTeX_Math"/>
          <w:i/>
          <w:iCs/>
          <w:color w:val="000000" w:themeColor="text1"/>
          <w:sz w:val="25"/>
          <w:szCs w:val="25"/>
        </w:rPr>
        <w:t>p</w:t>
      </w:r>
      <w:r w:rsidRPr="007539CE">
        <w:rPr>
          <w:rStyle w:val="vlist-s"/>
          <w:color w:val="000000" w:themeColor="text1"/>
          <w:sz w:val="2"/>
          <w:szCs w:val="2"/>
        </w:rPr>
        <w:t>​</w:t>
      </w:r>
      <w:r w:rsidRPr="007539CE">
        <w:rPr>
          <w:rStyle w:val="mrel"/>
          <w:color w:val="000000" w:themeColor="text1"/>
          <w:sz w:val="35"/>
          <w:szCs w:val="35"/>
        </w:rPr>
        <w:t>=</w:t>
      </w:r>
      <w:r w:rsidRPr="007539CE">
        <w:rPr>
          <w:rStyle w:val="mord"/>
          <w:color w:val="000000" w:themeColor="text1"/>
          <w:sz w:val="35"/>
          <w:szCs w:val="35"/>
        </w:rPr>
        <w:t>standard deviation of the portfolio’s excess return</w:t>
      </w:r>
      <w:r w:rsidRPr="007539CE">
        <w:rPr>
          <w:rStyle w:val="vlist-s"/>
          <w:color w:val="000000" w:themeColor="text1"/>
          <w:sz w:val="2"/>
          <w:szCs w:val="2"/>
        </w:rPr>
        <w:t>​</w:t>
      </w:r>
      <w:r w:rsidRPr="007539CE">
        <w:rPr>
          <w:rFonts w:ascii="Arial" w:hAnsi="Arial" w:cs="Arial"/>
          <w:color w:val="000000" w:themeColor="text1"/>
          <w:sz w:val="29"/>
          <w:szCs w:val="29"/>
        </w:rPr>
        <w:t>﻿</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Sharpe ratio is calculated as follows:</w:t>
      </w:r>
    </w:p>
    <w:p w:rsidR="007539CE" w:rsidRPr="007539CE" w:rsidRDefault="007539CE" w:rsidP="00C46849">
      <w:pPr>
        <w:numPr>
          <w:ilvl w:val="0"/>
          <w:numId w:val="12"/>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Subtract the risk-free rate from the return of the portfolio. The risk-free rate could be a U.S. Treasury rate or yield, such as the one-year or two-year Treasury yield.</w:t>
      </w:r>
    </w:p>
    <w:p w:rsidR="007539CE" w:rsidRPr="007539CE" w:rsidRDefault="007539CE" w:rsidP="00C46849">
      <w:pPr>
        <w:numPr>
          <w:ilvl w:val="0"/>
          <w:numId w:val="12"/>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Divide the result by the standard deviation of the portfolio’s excess return. The </w:t>
      </w:r>
      <w:hyperlink r:id="rId126" w:history="1">
        <w:r w:rsidRPr="007539CE">
          <w:rPr>
            <w:rStyle w:val="Hyperlink"/>
            <w:rFonts w:ascii="Arial" w:hAnsi="Arial" w:cs="Arial"/>
            <w:color w:val="000000" w:themeColor="text1"/>
            <w:sz w:val="29"/>
            <w:szCs w:val="29"/>
          </w:rPr>
          <w:t>standard deviation</w:t>
        </w:r>
      </w:hyperlink>
      <w:r w:rsidRPr="007539CE">
        <w:rPr>
          <w:rFonts w:ascii="Arial" w:hAnsi="Arial" w:cs="Arial"/>
          <w:color w:val="000000" w:themeColor="text1"/>
          <w:sz w:val="29"/>
          <w:szCs w:val="29"/>
        </w:rPr>
        <w:t> helps to show how much the portfolio's return deviates from the expected return. The standard deviation also sheds light on the portfolio's volatility.</w:t>
      </w:r>
    </w:p>
    <w:p w:rsidR="007539CE" w:rsidRPr="007539CE" w:rsidRDefault="007539CE" w:rsidP="00C46849">
      <w:pPr>
        <w:pStyle w:val="Heading3"/>
        <w:spacing w:before="0" w:beforeAutospacing="0" w:after="0" w:afterAutospacing="0"/>
        <w:jc w:val="both"/>
        <w:rPr>
          <w:rFonts w:ascii="Arial" w:hAnsi="Arial" w:cs="Arial"/>
          <w:b w:val="0"/>
          <w:bCs w:val="0"/>
          <w:caps/>
          <w:color w:val="000000" w:themeColor="text1"/>
        </w:rPr>
      </w:pPr>
      <w:r w:rsidRPr="007539CE">
        <w:rPr>
          <w:rFonts w:ascii="Arial" w:hAnsi="Arial" w:cs="Arial"/>
          <w:b w:val="0"/>
          <w:bCs w:val="0"/>
          <w:caps/>
          <w:color w:val="000000" w:themeColor="text1"/>
        </w:rPr>
        <w:t>KEY TAKEAWAYS</w:t>
      </w:r>
    </w:p>
    <w:p w:rsidR="007539CE" w:rsidRPr="007539CE" w:rsidRDefault="007539CE" w:rsidP="00C46849">
      <w:pPr>
        <w:numPr>
          <w:ilvl w:val="0"/>
          <w:numId w:val="13"/>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The Sharpe ratio adjusts a portfolio’s past performance—or expected future performance—for the excess risk that was taken by the investor.</w:t>
      </w:r>
    </w:p>
    <w:p w:rsidR="007539CE" w:rsidRPr="007539CE" w:rsidRDefault="007539CE" w:rsidP="00C46849">
      <w:pPr>
        <w:numPr>
          <w:ilvl w:val="0"/>
          <w:numId w:val="13"/>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A high Sharpe ratio is good when compared to similar portfolios or funds with lower returns.</w:t>
      </w:r>
    </w:p>
    <w:p w:rsidR="007539CE" w:rsidRPr="007539CE" w:rsidRDefault="007539CE" w:rsidP="00C46849">
      <w:pPr>
        <w:numPr>
          <w:ilvl w:val="0"/>
          <w:numId w:val="13"/>
        </w:numPr>
        <w:spacing w:before="100" w:beforeAutospacing="1" w:after="0"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The Sharpe ratio has several weaknesses, including an assumption that investment returns are normally distributed.</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What the Sharpe Ratio Can Tell You</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Sharpe ratio has become the most widely used method for calculating the risk-adjusted return. </w:t>
      </w:r>
      <w:hyperlink r:id="rId127" w:history="1">
        <w:r w:rsidRPr="007539CE">
          <w:rPr>
            <w:rStyle w:val="Hyperlink"/>
            <w:rFonts w:ascii="Arial" w:hAnsi="Arial" w:cs="Arial"/>
            <w:color w:val="000000" w:themeColor="text1"/>
            <w:sz w:val="29"/>
            <w:szCs w:val="29"/>
          </w:rPr>
          <w:t>Modern Portfolio Theory</w:t>
        </w:r>
      </w:hyperlink>
      <w:r w:rsidRPr="007539CE">
        <w:rPr>
          <w:rFonts w:ascii="Arial" w:hAnsi="Arial" w:cs="Arial"/>
          <w:color w:val="000000" w:themeColor="text1"/>
          <w:sz w:val="29"/>
          <w:szCs w:val="29"/>
        </w:rPr>
        <w:t> states that adding assets to a diversified portfolio that has low correlations can decrease portfolio risk without sacrificing return.</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lastRenderedPageBreak/>
        <w:t>Adding diversification should increase the Sharpe ratio compared to similar portfolios with a lower level of diversification. For this to be true, investors must also accept the assumption that risk is equal to volatility, which is not unreasonable but may be too narrow to be applied to all investments.</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Sharpe ratio can be used to evaluate a portfolio’s past performance (ex-post) where actual returns are used in the formula. Alternatively, an investor could use expected portfolio performance and the expected risk-free rate to calculate an estimated Sharpe ratio (</w:t>
      </w:r>
      <w:hyperlink r:id="rId128" w:history="1">
        <w:r w:rsidRPr="007539CE">
          <w:rPr>
            <w:rStyle w:val="Hyperlink"/>
            <w:rFonts w:ascii="Arial" w:hAnsi="Arial" w:cs="Arial"/>
            <w:color w:val="000000" w:themeColor="text1"/>
            <w:sz w:val="29"/>
            <w:szCs w:val="29"/>
          </w:rPr>
          <w:t>ex-ante</w:t>
        </w:r>
      </w:hyperlink>
      <w:r w:rsidRPr="007539CE">
        <w:rPr>
          <w:rFonts w:ascii="Arial" w:hAnsi="Arial" w:cs="Arial"/>
          <w:color w:val="000000" w:themeColor="text1"/>
          <w:sz w:val="29"/>
          <w:szCs w:val="29"/>
        </w:rPr>
        <w:t>).</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Sharpe ratio can also help explain whether a portfolio's excess returns are due to smart investment decisions or a result of too much risk. Although one portfolio or fund can enjoy higher returns than its peers, it is only a good investment if those higher returns do not come with an excess of additional risk.</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greater a portfolio's Sharpe ratio, the better its risk-adjusted-performance. If the analysis results in a negative Sharpe ratio, it either means the risk-free rate is greater than the portfolio’s return, or the portfolio's return is expected to be negative. In either case, a negative Sharpe ratio does not convey any useful meaning.</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Example of How to Use Sharpe Ratio</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Sharpe ratio is often used to compare the change in overall risk-return characteristics when a new asset or asset class is added to a portfolio. For example, an investor is considering adding a </w:t>
      </w:r>
      <w:hyperlink r:id="rId129" w:history="1">
        <w:r w:rsidRPr="007539CE">
          <w:rPr>
            <w:rStyle w:val="Hyperlink"/>
            <w:rFonts w:ascii="Arial" w:hAnsi="Arial" w:cs="Arial"/>
            <w:color w:val="000000" w:themeColor="text1"/>
            <w:sz w:val="29"/>
            <w:szCs w:val="29"/>
          </w:rPr>
          <w:t>hedge fund</w:t>
        </w:r>
      </w:hyperlink>
      <w:r w:rsidRPr="007539CE">
        <w:rPr>
          <w:rFonts w:ascii="Arial" w:hAnsi="Arial" w:cs="Arial"/>
          <w:color w:val="000000" w:themeColor="text1"/>
          <w:sz w:val="29"/>
          <w:szCs w:val="29"/>
        </w:rPr>
        <w:t> allocation to their existing portfolio that is currently split between stocks and bonds and has returned 15% over the last year. The current risk-free rate is 3.5%, and the volatility of the portfolio’s returns was 12%, which makes the Sharpe ratio of 95.8%, or (15% - 3.5%) divided by 12%.</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investor believes that adding the hedge fund to the portfolio will lower the expected return to 11% for the coming year, but also expects the portfolio’s volatility to drop to 7%. They assume that the risk-free rate will remain the same over the coming year. Using the same formula, with the estimated future numbers, the investor finds the portfolio has the expected Sharpe ratio of 107%, or (11% - 3.5%) divided by 7%.</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lastRenderedPageBreak/>
        <w:t>Here, the investor has shown that although the hedge fund investment is lowering the absolute return of the portfolio, it has improved its performance on a risk-adjusted basis. If the addition of the new investment lowered the Sharpe ratio, it should not be added to the portfolio. This example assumes that the Sharpe ratio based on past performance can be fairly compared to expected future performance.</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 xml:space="preserve">The Difference </w:t>
      </w:r>
      <w:proofErr w:type="gramStart"/>
      <w:r w:rsidRPr="007539CE">
        <w:rPr>
          <w:rStyle w:val="mntl-sc-block-headingtext"/>
          <w:rFonts w:ascii="Arial" w:hAnsi="Arial" w:cs="Arial"/>
          <w:b w:val="0"/>
          <w:bCs w:val="0"/>
          <w:color w:val="000000" w:themeColor="text1"/>
        </w:rPr>
        <w:t>Between</w:t>
      </w:r>
      <w:proofErr w:type="gramEnd"/>
      <w:r w:rsidRPr="007539CE">
        <w:rPr>
          <w:rStyle w:val="mntl-sc-block-headingtext"/>
          <w:rFonts w:ascii="Arial" w:hAnsi="Arial" w:cs="Arial"/>
          <w:b w:val="0"/>
          <w:bCs w:val="0"/>
          <w:color w:val="000000" w:themeColor="text1"/>
        </w:rPr>
        <w:t xml:space="preserve"> Sharpe Ratio and </w:t>
      </w:r>
      <w:proofErr w:type="spellStart"/>
      <w:r w:rsidRPr="007539CE">
        <w:rPr>
          <w:rStyle w:val="mntl-sc-block-headingtext"/>
          <w:rFonts w:ascii="Arial" w:hAnsi="Arial" w:cs="Arial"/>
          <w:b w:val="0"/>
          <w:bCs w:val="0"/>
          <w:color w:val="000000" w:themeColor="text1"/>
        </w:rPr>
        <w:t>Sortino</w:t>
      </w:r>
      <w:proofErr w:type="spellEnd"/>
      <w:r w:rsidRPr="007539CE">
        <w:rPr>
          <w:rStyle w:val="mntl-sc-block-headingtext"/>
          <w:rFonts w:ascii="Arial" w:hAnsi="Arial" w:cs="Arial"/>
          <w:b w:val="0"/>
          <w:bCs w:val="0"/>
          <w:color w:val="000000" w:themeColor="text1"/>
        </w:rPr>
        <w:t xml:space="preserve"> Ratio</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A variation of the Sharpe ratio is the </w:t>
      </w:r>
      <w:proofErr w:type="spellStart"/>
      <w:r w:rsidRPr="007539CE">
        <w:rPr>
          <w:rFonts w:ascii="Arial" w:hAnsi="Arial" w:cs="Arial"/>
          <w:color w:val="000000" w:themeColor="text1"/>
          <w:sz w:val="29"/>
          <w:szCs w:val="29"/>
        </w:rPr>
        <w:fldChar w:fldCharType="begin"/>
      </w:r>
      <w:r w:rsidRPr="007539CE">
        <w:rPr>
          <w:rFonts w:ascii="Arial" w:hAnsi="Arial" w:cs="Arial"/>
          <w:color w:val="000000" w:themeColor="text1"/>
          <w:sz w:val="29"/>
          <w:szCs w:val="29"/>
        </w:rPr>
        <w:instrText xml:space="preserve"> HYPERLINK "https://www.investopedia.com/terms/s/sortinoratio.asp" </w:instrText>
      </w:r>
      <w:r w:rsidRPr="007539CE">
        <w:rPr>
          <w:rFonts w:ascii="Arial" w:hAnsi="Arial" w:cs="Arial"/>
          <w:color w:val="000000" w:themeColor="text1"/>
          <w:sz w:val="29"/>
          <w:szCs w:val="29"/>
        </w:rPr>
        <w:fldChar w:fldCharType="separate"/>
      </w:r>
      <w:r w:rsidRPr="007539CE">
        <w:rPr>
          <w:rStyle w:val="Hyperlink"/>
          <w:rFonts w:ascii="Arial" w:hAnsi="Arial" w:cs="Arial"/>
          <w:color w:val="000000" w:themeColor="text1"/>
          <w:sz w:val="29"/>
          <w:szCs w:val="29"/>
        </w:rPr>
        <w:t>Sortino</w:t>
      </w:r>
      <w:proofErr w:type="spellEnd"/>
      <w:r w:rsidRPr="007539CE">
        <w:rPr>
          <w:rStyle w:val="Hyperlink"/>
          <w:rFonts w:ascii="Arial" w:hAnsi="Arial" w:cs="Arial"/>
          <w:color w:val="000000" w:themeColor="text1"/>
          <w:sz w:val="29"/>
          <w:szCs w:val="29"/>
        </w:rPr>
        <w:t xml:space="preserve"> ratio</w:t>
      </w:r>
      <w:r w:rsidRPr="007539CE">
        <w:rPr>
          <w:rFonts w:ascii="Arial" w:hAnsi="Arial" w:cs="Arial"/>
          <w:color w:val="000000" w:themeColor="text1"/>
          <w:sz w:val="29"/>
          <w:szCs w:val="29"/>
        </w:rPr>
        <w:fldChar w:fldCharType="end"/>
      </w:r>
      <w:r w:rsidRPr="007539CE">
        <w:rPr>
          <w:rFonts w:ascii="Arial" w:hAnsi="Arial" w:cs="Arial"/>
          <w:color w:val="000000" w:themeColor="text1"/>
          <w:sz w:val="29"/>
          <w:szCs w:val="29"/>
        </w:rPr>
        <w:t xml:space="preserve">, which removes the effects of upward price movements on standard deviation to focus on the distribution of returns that are below the target or required return. The </w:t>
      </w:r>
      <w:proofErr w:type="spellStart"/>
      <w:r w:rsidRPr="007539CE">
        <w:rPr>
          <w:rFonts w:ascii="Arial" w:hAnsi="Arial" w:cs="Arial"/>
          <w:color w:val="000000" w:themeColor="text1"/>
          <w:sz w:val="29"/>
          <w:szCs w:val="29"/>
        </w:rPr>
        <w:t>Sortino</w:t>
      </w:r>
      <w:proofErr w:type="spellEnd"/>
      <w:r w:rsidRPr="007539CE">
        <w:rPr>
          <w:rFonts w:ascii="Arial" w:hAnsi="Arial" w:cs="Arial"/>
          <w:color w:val="000000" w:themeColor="text1"/>
          <w:sz w:val="29"/>
          <w:szCs w:val="29"/>
        </w:rPr>
        <w:t xml:space="preserve"> ratio also replaces the risk-free rate with the required return in the numerator of the formula, making the formula the return of the portfolio less the required return, divided by the distribution of returns below the target or required return.</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Another variation of the Sharpe ratio is the </w:t>
      </w:r>
      <w:proofErr w:type="spellStart"/>
      <w:r w:rsidRPr="007539CE">
        <w:rPr>
          <w:rFonts w:ascii="Arial" w:hAnsi="Arial" w:cs="Arial"/>
          <w:color w:val="000000" w:themeColor="text1"/>
          <w:sz w:val="29"/>
          <w:szCs w:val="29"/>
        </w:rPr>
        <w:fldChar w:fldCharType="begin"/>
      </w:r>
      <w:r w:rsidRPr="007539CE">
        <w:rPr>
          <w:rFonts w:ascii="Arial" w:hAnsi="Arial" w:cs="Arial"/>
          <w:color w:val="000000" w:themeColor="text1"/>
          <w:sz w:val="29"/>
          <w:szCs w:val="29"/>
        </w:rPr>
        <w:instrText xml:space="preserve"> HYPERLINK "https://www.investopedia.com/terms/t/treynorratio.asp" </w:instrText>
      </w:r>
      <w:r w:rsidRPr="007539CE">
        <w:rPr>
          <w:rFonts w:ascii="Arial" w:hAnsi="Arial" w:cs="Arial"/>
          <w:color w:val="000000" w:themeColor="text1"/>
          <w:sz w:val="29"/>
          <w:szCs w:val="29"/>
        </w:rPr>
        <w:fldChar w:fldCharType="separate"/>
      </w:r>
      <w:r w:rsidRPr="007539CE">
        <w:rPr>
          <w:rStyle w:val="Hyperlink"/>
          <w:rFonts w:ascii="Arial" w:hAnsi="Arial" w:cs="Arial"/>
          <w:color w:val="000000" w:themeColor="text1"/>
          <w:sz w:val="29"/>
          <w:szCs w:val="29"/>
        </w:rPr>
        <w:t>Treynor</w:t>
      </w:r>
      <w:proofErr w:type="spellEnd"/>
      <w:r w:rsidRPr="007539CE">
        <w:rPr>
          <w:rStyle w:val="Hyperlink"/>
          <w:rFonts w:ascii="Arial" w:hAnsi="Arial" w:cs="Arial"/>
          <w:color w:val="000000" w:themeColor="text1"/>
          <w:sz w:val="29"/>
          <w:szCs w:val="29"/>
        </w:rPr>
        <w:t xml:space="preserve"> Ratio</w:t>
      </w:r>
      <w:r w:rsidRPr="007539CE">
        <w:rPr>
          <w:rFonts w:ascii="Arial" w:hAnsi="Arial" w:cs="Arial"/>
          <w:color w:val="000000" w:themeColor="text1"/>
          <w:sz w:val="29"/>
          <w:szCs w:val="29"/>
        </w:rPr>
        <w:fldChar w:fldCharType="end"/>
      </w:r>
      <w:r w:rsidRPr="007539CE">
        <w:rPr>
          <w:rFonts w:ascii="Arial" w:hAnsi="Arial" w:cs="Arial"/>
          <w:color w:val="000000" w:themeColor="text1"/>
          <w:sz w:val="29"/>
          <w:szCs w:val="29"/>
        </w:rPr>
        <w:t> that uses a portfolio’s beta or correlation the portfolio has with the rest of the market. </w:t>
      </w:r>
      <w:hyperlink r:id="rId130" w:history="1">
        <w:r w:rsidRPr="007539CE">
          <w:rPr>
            <w:rStyle w:val="Hyperlink"/>
            <w:rFonts w:ascii="Arial" w:hAnsi="Arial" w:cs="Arial"/>
            <w:color w:val="000000" w:themeColor="text1"/>
            <w:sz w:val="29"/>
            <w:szCs w:val="29"/>
          </w:rPr>
          <w:t>Beta</w:t>
        </w:r>
      </w:hyperlink>
      <w:r w:rsidRPr="007539CE">
        <w:rPr>
          <w:rFonts w:ascii="Arial" w:hAnsi="Arial" w:cs="Arial"/>
          <w:color w:val="000000" w:themeColor="text1"/>
          <w:sz w:val="29"/>
          <w:szCs w:val="29"/>
        </w:rPr>
        <w:t xml:space="preserve"> is a measure of an investment's volatility and risk as compared to the overall market. The goal of 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ratio is to determine whether an investor is being compensated for taking additional risk above the inherent risk of the market. The </w:t>
      </w:r>
      <w:proofErr w:type="spellStart"/>
      <w:r w:rsidRPr="007539CE">
        <w:rPr>
          <w:rFonts w:ascii="Arial" w:hAnsi="Arial" w:cs="Arial"/>
          <w:color w:val="000000" w:themeColor="text1"/>
          <w:sz w:val="29"/>
          <w:szCs w:val="29"/>
        </w:rPr>
        <w:t>Treynor</w:t>
      </w:r>
      <w:proofErr w:type="spellEnd"/>
      <w:r w:rsidRPr="007539CE">
        <w:rPr>
          <w:rFonts w:ascii="Arial" w:hAnsi="Arial" w:cs="Arial"/>
          <w:color w:val="000000" w:themeColor="text1"/>
          <w:sz w:val="29"/>
          <w:szCs w:val="29"/>
        </w:rPr>
        <w:t xml:space="preserve"> ratio formula is the return of the portfolio, minus the risk-free rate, divided by the portfolio’s beta.</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Limitations of Using Sharpe Ratio</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Sharpe ratio uses the standard deviation of returns in the denominator as its proxy of total portfolio risk, which assumes that returns are normally distributed. A normal distribution of data is like rolling a pair of dice. We know that over many rolls, the most common result from the dice will be seven, and the least common results will be two and twelve.</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However, returns in the </w:t>
      </w:r>
      <w:hyperlink r:id="rId131" w:history="1">
        <w:r w:rsidRPr="007539CE">
          <w:rPr>
            <w:rStyle w:val="Hyperlink"/>
            <w:rFonts w:ascii="Arial" w:hAnsi="Arial" w:cs="Arial"/>
            <w:color w:val="000000" w:themeColor="text1"/>
            <w:sz w:val="29"/>
            <w:szCs w:val="29"/>
          </w:rPr>
          <w:t>financial markets</w:t>
        </w:r>
      </w:hyperlink>
      <w:r w:rsidRPr="007539CE">
        <w:rPr>
          <w:rFonts w:ascii="Arial" w:hAnsi="Arial" w:cs="Arial"/>
          <w:color w:val="000000" w:themeColor="text1"/>
          <w:sz w:val="29"/>
          <w:szCs w:val="29"/>
        </w:rPr>
        <w:t> are skewed away from the average because of a large number of surprising drops or spikes in prices. Additionally, the standard deviation assumes that price movements in either direction are equally risky.</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The Sharpe ratio can be manipulated by portfolio managers seeking to boost their apparent risk-adjusted returns history. This can be done by lengthening the measurement interval. This will result in a lower estimate of volatility. For example, the annualized standard deviation </w:t>
      </w:r>
      <w:r w:rsidRPr="007539CE">
        <w:rPr>
          <w:rFonts w:ascii="Arial" w:hAnsi="Arial" w:cs="Arial"/>
          <w:color w:val="000000" w:themeColor="text1"/>
          <w:sz w:val="29"/>
          <w:szCs w:val="29"/>
        </w:rPr>
        <w:lastRenderedPageBreak/>
        <w:t>of daily returns is generally higher than that of weekly returns which is, in turn, higher than that of monthly returns.</w:t>
      </w:r>
    </w:p>
    <w:p w:rsidR="007539CE" w:rsidRPr="007539CE" w:rsidRDefault="007539CE" w:rsidP="00C46849">
      <w:pPr>
        <w:pStyle w:val="comp1"/>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Choosing a period for the analysis with the best potential Sharpe ratio, rather than a neutral look-back period, is another way to cherry-pick the data that will distort the risk-adjusted returns.</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 xml:space="preserve">What Is the </w:t>
      </w:r>
      <w:proofErr w:type="spellStart"/>
      <w:r w:rsidRPr="007539CE">
        <w:rPr>
          <w:rFonts w:ascii="Arial" w:eastAsia="Times New Roman" w:hAnsi="Arial" w:cs="Arial"/>
          <w:color w:val="000000" w:themeColor="text1"/>
          <w:sz w:val="36"/>
          <w:szCs w:val="36"/>
          <w:lang w:eastAsia="en-IN"/>
        </w:rPr>
        <w:t>Treynor</w:t>
      </w:r>
      <w:proofErr w:type="spellEnd"/>
      <w:r w:rsidRPr="007539CE">
        <w:rPr>
          <w:rFonts w:ascii="Arial" w:eastAsia="Times New Roman" w:hAnsi="Arial" w:cs="Arial"/>
          <w:color w:val="000000" w:themeColor="text1"/>
          <w:sz w:val="36"/>
          <w:szCs w:val="36"/>
          <w:lang w:eastAsia="en-IN"/>
        </w:rPr>
        <w:t xml:space="preserve"> Index?</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measures the risk-adjusted performance of an investment portfolio by analyzing a portfolio's excess return per unit of risk. In the case of 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excess return refers to the return earned above the return that could have been earned in a risk-free investment. </w:t>
      </w:r>
      <w:proofErr w:type="gramStart"/>
      <w:r w:rsidRPr="007539CE">
        <w:rPr>
          <w:rFonts w:ascii="Arial" w:eastAsia="Times New Roman" w:hAnsi="Arial" w:cs="Arial"/>
          <w:color w:val="000000" w:themeColor="text1"/>
          <w:sz w:val="29"/>
          <w:szCs w:val="29"/>
          <w:lang w:eastAsia="en-IN"/>
        </w:rPr>
        <w:t>(Although this is a theoretical speculation because there are no true risk-free investments.)</w:t>
      </w:r>
      <w:proofErr w:type="gramEnd"/>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For 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the measure of market risk used is </w:t>
      </w:r>
      <w:hyperlink r:id="rId132" w:history="1">
        <w:r w:rsidRPr="007539CE">
          <w:rPr>
            <w:rFonts w:ascii="Arial" w:eastAsia="Times New Roman" w:hAnsi="Arial" w:cs="Arial"/>
            <w:color w:val="000000" w:themeColor="text1"/>
            <w:sz w:val="29"/>
            <w:u w:val="single"/>
            <w:lang w:eastAsia="en-IN"/>
          </w:rPr>
          <w:t>beta</w:t>
        </w:r>
      </w:hyperlink>
      <w:r w:rsidRPr="007539CE">
        <w:rPr>
          <w:rFonts w:ascii="Arial" w:eastAsia="Times New Roman" w:hAnsi="Arial" w:cs="Arial"/>
          <w:color w:val="000000" w:themeColor="text1"/>
          <w:sz w:val="29"/>
          <w:szCs w:val="29"/>
          <w:lang w:eastAsia="en-IN"/>
        </w:rPr>
        <w:t xml:space="preserve">, which is a measure of overall market risk or systematic risk. Beta measures the tendency of a portfolio's return to change in response to changes in return for the overall market. The higher 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the greater the excess return being generated by the portfolio per each unit of overall market risk.</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is also known as the </w:t>
      </w:r>
      <w:proofErr w:type="spellStart"/>
      <w:r w:rsidRPr="007539CE">
        <w:rPr>
          <w:rFonts w:ascii="Arial" w:eastAsia="Times New Roman" w:hAnsi="Arial" w:cs="Arial"/>
          <w:color w:val="000000" w:themeColor="text1"/>
          <w:sz w:val="29"/>
          <w:szCs w:val="29"/>
          <w:lang w:eastAsia="en-IN"/>
        </w:rPr>
        <w:fldChar w:fldCharType="begin"/>
      </w:r>
      <w:r w:rsidRPr="007539CE">
        <w:rPr>
          <w:rFonts w:ascii="Arial" w:eastAsia="Times New Roman" w:hAnsi="Arial" w:cs="Arial"/>
          <w:color w:val="000000" w:themeColor="text1"/>
          <w:sz w:val="29"/>
          <w:szCs w:val="29"/>
          <w:lang w:eastAsia="en-IN"/>
        </w:rPr>
        <w:instrText xml:space="preserve"> HYPERLINK "https://www.investopedia.com/terms/t/treynorratio.asp" </w:instrText>
      </w:r>
      <w:r w:rsidRPr="007539CE">
        <w:rPr>
          <w:rFonts w:ascii="Arial" w:eastAsia="Times New Roman" w:hAnsi="Arial" w:cs="Arial"/>
          <w:color w:val="000000" w:themeColor="text1"/>
          <w:sz w:val="29"/>
          <w:szCs w:val="29"/>
          <w:lang w:eastAsia="en-IN"/>
        </w:rPr>
        <w:fldChar w:fldCharType="separate"/>
      </w:r>
      <w:r w:rsidRPr="007539CE">
        <w:rPr>
          <w:rFonts w:ascii="Arial" w:eastAsia="Times New Roman" w:hAnsi="Arial" w:cs="Arial"/>
          <w:color w:val="000000" w:themeColor="text1"/>
          <w:sz w:val="29"/>
          <w:u w:val="single"/>
          <w:lang w:eastAsia="en-IN"/>
        </w:rPr>
        <w:t>Treynor</w:t>
      </w:r>
      <w:proofErr w:type="spellEnd"/>
      <w:r w:rsidRPr="007539CE">
        <w:rPr>
          <w:rFonts w:ascii="Arial" w:eastAsia="Times New Roman" w:hAnsi="Arial" w:cs="Arial"/>
          <w:color w:val="000000" w:themeColor="text1"/>
          <w:sz w:val="29"/>
          <w:u w:val="single"/>
          <w:lang w:eastAsia="en-IN"/>
        </w:rPr>
        <w:t xml:space="preserve"> Ratio</w:t>
      </w:r>
      <w:r w:rsidRPr="007539CE">
        <w:rPr>
          <w:rFonts w:ascii="Arial" w:eastAsia="Times New Roman" w:hAnsi="Arial" w:cs="Arial"/>
          <w:color w:val="000000" w:themeColor="text1"/>
          <w:sz w:val="29"/>
          <w:szCs w:val="29"/>
          <w:lang w:eastAsia="en-IN"/>
        </w:rPr>
        <w:fldChar w:fldCharType="end"/>
      </w:r>
      <w:r w:rsidRPr="007539CE">
        <w:rPr>
          <w:rFonts w:ascii="Arial" w:eastAsia="Times New Roman" w:hAnsi="Arial" w:cs="Arial"/>
          <w:color w:val="000000" w:themeColor="text1"/>
          <w:sz w:val="29"/>
          <w:szCs w:val="29"/>
          <w:lang w:eastAsia="en-IN"/>
        </w:rPr>
        <w:t> or the reward-to-volatility ratio.</w:t>
      </w:r>
    </w:p>
    <w:p w:rsidR="007539CE" w:rsidRPr="007539CE" w:rsidRDefault="007539CE" w:rsidP="00C46849">
      <w:pPr>
        <w:spacing w:after="0" w:line="240" w:lineRule="auto"/>
        <w:jc w:val="both"/>
        <w:outlineLvl w:val="2"/>
        <w:rPr>
          <w:rFonts w:ascii="Arial" w:eastAsia="Times New Roman" w:hAnsi="Arial" w:cs="Arial"/>
          <w:caps/>
          <w:color w:val="000000" w:themeColor="text1"/>
          <w:sz w:val="27"/>
          <w:szCs w:val="27"/>
          <w:lang w:eastAsia="en-IN"/>
        </w:rPr>
      </w:pPr>
      <w:r w:rsidRPr="007539CE">
        <w:rPr>
          <w:rFonts w:ascii="Arial" w:eastAsia="Times New Roman" w:hAnsi="Arial" w:cs="Arial"/>
          <w:caps/>
          <w:color w:val="000000" w:themeColor="text1"/>
          <w:sz w:val="27"/>
          <w:szCs w:val="27"/>
          <w:lang w:eastAsia="en-IN"/>
        </w:rPr>
        <w:t>KEY TAKEAWAYS</w:t>
      </w:r>
    </w:p>
    <w:p w:rsidR="007539CE" w:rsidRPr="007539CE" w:rsidRDefault="007539CE" w:rsidP="00C46849">
      <w:pPr>
        <w:numPr>
          <w:ilvl w:val="0"/>
          <w:numId w:val="14"/>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measures the risk-adjusted performance of an investment portfolio by analyzing a portfolio's excess return per unit of risk.</w:t>
      </w:r>
    </w:p>
    <w:p w:rsidR="007539CE" w:rsidRPr="007539CE" w:rsidRDefault="007539CE" w:rsidP="00C46849">
      <w:pPr>
        <w:numPr>
          <w:ilvl w:val="0"/>
          <w:numId w:val="14"/>
        </w:numPr>
        <w:spacing w:before="100" w:beforeAutospacing="1"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Excess return refers to the return earned above the return that could have been earned in a risk-free investment.</w:t>
      </w:r>
    </w:p>
    <w:p w:rsidR="007539CE" w:rsidRPr="007539CE" w:rsidRDefault="007539CE" w:rsidP="00C46849">
      <w:pPr>
        <w:numPr>
          <w:ilvl w:val="0"/>
          <w:numId w:val="14"/>
        </w:numPr>
        <w:spacing w:before="100" w:beforeAutospacing="1" w:after="0"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For 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the measure of market risk used is beta, which is a measure of overall market risk or systematic risk.</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 xml:space="preserve">Formula and Calculation of the </w:t>
      </w:r>
      <w:proofErr w:type="spellStart"/>
      <w:r w:rsidRPr="007539CE">
        <w:rPr>
          <w:rFonts w:ascii="Arial" w:eastAsia="Times New Roman" w:hAnsi="Arial" w:cs="Arial"/>
          <w:color w:val="000000" w:themeColor="text1"/>
          <w:sz w:val="36"/>
          <w:szCs w:val="36"/>
          <w:lang w:eastAsia="en-IN"/>
        </w:rPr>
        <w:t>Treynor</w:t>
      </w:r>
      <w:proofErr w:type="spellEnd"/>
      <w:r w:rsidRPr="007539CE">
        <w:rPr>
          <w:rFonts w:ascii="Arial" w:eastAsia="Times New Roman" w:hAnsi="Arial" w:cs="Arial"/>
          <w:color w:val="000000" w:themeColor="text1"/>
          <w:sz w:val="36"/>
          <w:szCs w:val="36"/>
          <w:lang w:eastAsia="en-IN"/>
        </w:rPr>
        <w:t xml:space="preserve"> Index</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The formula for 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Index/Ratio is:</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Times New Roman" w:eastAsia="Times New Roman" w:hAnsi="Times New Roman" w:cs="Times New Roman"/>
          <w:color w:val="000000" w:themeColor="text1"/>
          <w:sz w:val="35"/>
          <w:lang w:eastAsia="en-IN"/>
        </w:rPr>
        <w:t>\begin{aligned}&amp;\text{</w:t>
      </w:r>
      <w:proofErr w:type="spellStart"/>
      <w:r w:rsidRPr="007539CE">
        <w:rPr>
          <w:rFonts w:ascii="Times New Roman" w:eastAsia="Times New Roman" w:hAnsi="Times New Roman" w:cs="Times New Roman"/>
          <w:color w:val="000000" w:themeColor="text1"/>
          <w:sz w:val="35"/>
          <w:lang w:eastAsia="en-IN"/>
        </w:rPr>
        <w:t>Treynor</w:t>
      </w:r>
      <w:proofErr w:type="spellEnd"/>
      <w:r w:rsidRPr="007539CE">
        <w:rPr>
          <w:rFonts w:ascii="Times New Roman" w:eastAsia="Times New Roman" w:hAnsi="Times New Roman" w:cs="Times New Roman"/>
          <w:color w:val="000000" w:themeColor="text1"/>
          <w:sz w:val="35"/>
          <w:lang w:eastAsia="en-IN"/>
        </w:rPr>
        <w:t xml:space="preserve"> Ratio}=\frac{\text{PR}-\text{RFR}}{\text{PB}}\\&amp;\textbf{where:}\\&amp;\text{PR}=\text{Portfolio return}\\&amp;\text{RFR}=\text{Risk free rate}\\&amp;\text{PB}=\text{Portfolio beta}\end{aligned}</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color w:val="000000" w:themeColor="text1"/>
          <w:sz w:val="35"/>
          <w:lang w:eastAsia="en-IN"/>
        </w:rPr>
        <w:lastRenderedPageBreak/>
        <w:t>Treynor Ratio=PBPR−RFR</w:t>
      </w:r>
      <w:r w:rsidRPr="007539CE">
        <w:rPr>
          <w:rFonts w:ascii="Times New Roman" w:eastAsia="Times New Roman" w:hAnsi="Times New Roman" w:cs="Times New Roman"/>
          <w:color w:val="000000" w:themeColor="text1"/>
          <w:sz w:val="2"/>
          <w:lang w:eastAsia="en-IN"/>
        </w:rPr>
        <w:t>​</w:t>
      </w:r>
      <w:r w:rsidRPr="007539CE">
        <w:rPr>
          <w:rFonts w:ascii="Times New Roman" w:eastAsia="Times New Roman" w:hAnsi="Times New Roman" w:cs="Times New Roman"/>
          <w:b/>
          <w:bCs/>
          <w:color w:val="000000" w:themeColor="text1"/>
          <w:sz w:val="35"/>
          <w:lang w:eastAsia="en-IN"/>
        </w:rPr>
        <w:t>where:</w:t>
      </w:r>
      <w:r w:rsidRPr="007539CE">
        <w:rPr>
          <w:rFonts w:ascii="Times New Roman" w:eastAsia="Times New Roman" w:hAnsi="Times New Roman" w:cs="Times New Roman"/>
          <w:color w:val="000000" w:themeColor="text1"/>
          <w:sz w:val="35"/>
          <w:lang w:eastAsia="en-IN"/>
        </w:rPr>
        <w:t>PR=Portfolio returnRFR=Risk free ratePB=Portfolio beta</w:t>
      </w:r>
      <w:r w:rsidRPr="007539CE">
        <w:rPr>
          <w:rFonts w:ascii="Times New Roman" w:eastAsia="Times New Roman" w:hAnsi="Times New Roman" w:cs="Times New Roman"/>
          <w:color w:val="000000" w:themeColor="text1"/>
          <w:sz w:val="2"/>
          <w:lang w:eastAsia="en-IN"/>
        </w:rPr>
        <w:t>​</w:t>
      </w:r>
      <w:r w:rsidRPr="007539CE">
        <w:rPr>
          <w:rFonts w:ascii="Arial" w:eastAsia="Times New Roman" w:hAnsi="Arial" w:cs="Arial"/>
          <w:color w:val="000000" w:themeColor="text1"/>
          <w:sz w:val="29"/>
          <w:szCs w:val="29"/>
          <w:lang w:eastAsia="en-IN"/>
        </w:rPr>
        <w:t>﻿</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 xml:space="preserve">What the </w:t>
      </w:r>
      <w:proofErr w:type="spellStart"/>
      <w:r w:rsidRPr="007539CE">
        <w:rPr>
          <w:rFonts w:ascii="Arial" w:eastAsia="Times New Roman" w:hAnsi="Arial" w:cs="Arial"/>
          <w:color w:val="000000" w:themeColor="text1"/>
          <w:sz w:val="36"/>
          <w:szCs w:val="36"/>
          <w:lang w:eastAsia="en-IN"/>
        </w:rPr>
        <w:t>Treynor</w:t>
      </w:r>
      <w:proofErr w:type="spellEnd"/>
      <w:r w:rsidRPr="007539CE">
        <w:rPr>
          <w:rFonts w:ascii="Arial" w:eastAsia="Times New Roman" w:hAnsi="Arial" w:cs="Arial"/>
          <w:color w:val="000000" w:themeColor="text1"/>
          <w:sz w:val="36"/>
          <w:szCs w:val="36"/>
          <w:lang w:eastAsia="en-IN"/>
        </w:rPr>
        <w:t xml:space="preserve"> Index Can Tell You</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The </w:t>
      </w:r>
      <w:proofErr w:type="spellStart"/>
      <w:r w:rsidRPr="007539CE">
        <w:rPr>
          <w:rFonts w:ascii="Arial" w:eastAsia="Times New Roman" w:hAnsi="Arial" w:cs="Arial"/>
          <w:color w:val="000000" w:themeColor="text1"/>
          <w:sz w:val="29"/>
          <w:szCs w:val="29"/>
          <w:lang w:eastAsia="en-IN"/>
        </w:rPr>
        <w:t>Traynor</w:t>
      </w:r>
      <w:proofErr w:type="spellEnd"/>
      <w:r w:rsidRPr="007539CE">
        <w:rPr>
          <w:rFonts w:ascii="Arial" w:eastAsia="Times New Roman" w:hAnsi="Arial" w:cs="Arial"/>
          <w:color w:val="000000" w:themeColor="text1"/>
          <w:sz w:val="29"/>
          <w:szCs w:val="29"/>
          <w:lang w:eastAsia="en-IN"/>
        </w:rPr>
        <w:t xml:space="preserve"> Index indicates how much return an investment, such as a portfolio of stocks, a mutual fund, or </w:t>
      </w:r>
      <w:hyperlink r:id="rId133" w:history="1">
        <w:r w:rsidRPr="007539CE">
          <w:rPr>
            <w:rFonts w:ascii="Arial" w:eastAsia="Times New Roman" w:hAnsi="Arial" w:cs="Arial"/>
            <w:color w:val="000000" w:themeColor="text1"/>
            <w:sz w:val="29"/>
            <w:u w:val="single"/>
            <w:lang w:eastAsia="en-IN"/>
          </w:rPr>
          <w:t>exchange-traded fund</w:t>
        </w:r>
      </w:hyperlink>
      <w:r w:rsidRPr="007539CE">
        <w:rPr>
          <w:rFonts w:ascii="Arial" w:eastAsia="Times New Roman" w:hAnsi="Arial" w:cs="Arial"/>
          <w:color w:val="000000" w:themeColor="text1"/>
          <w:sz w:val="29"/>
          <w:szCs w:val="29"/>
          <w:lang w:eastAsia="en-IN"/>
        </w:rPr>
        <w:t xml:space="preserve">, earned for the amount of risk the investment assumed. A higher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means a portfolio is a more suitable investment. The index is a performance metric that essentially expresses how many units of reward an investor is given for each unit of volatility they experience.</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Like the </w:t>
      </w:r>
      <w:hyperlink r:id="rId134" w:history="1">
        <w:r w:rsidRPr="007539CE">
          <w:rPr>
            <w:rFonts w:ascii="Arial" w:eastAsia="Times New Roman" w:hAnsi="Arial" w:cs="Arial"/>
            <w:color w:val="000000" w:themeColor="text1"/>
            <w:sz w:val="29"/>
            <w:u w:val="single"/>
            <w:lang w:eastAsia="en-IN"/>
          </w:rPr>
          <w:t>Sharpe ratio</w:t>
        </w:r>
      </w:hyperlink>
      <w:r w:rsidRPr="007539CE">
        <w:rPr>
          <w:rFonts w:ascii="Arial" w:eastAsia="Times New Roman" w:hAnsi="Arial" w:cs="Arial"/>
          <w:color w:val="000000" w:themeColor="text1"/>
          <w:sz w:val="29"/>
          <w:szCs w:val="29"/>
          <w:lang w:eastAsia="en-IN"/>
        </w:rPr>
        <w:t>—which uses </w:t>
      </w:r>
      <w:hyperlink r:id="rId135" w:history="1">
        <w:r w:rsidRPr="007539CE">
          <w:rPr>
            <w:rFonts w:ascii="Arial" w:eastAsia="Times New Roman" w:hAnsi="Arial" w:cs="Arial"/>
            <w:color w:val="000000" w:themeColor="text1"/>
            <w:sz w:val="29"/>
            <w:u w:val="single"/>
            <w:lang w:eastAsia="en-IN"/>
          </w:rPr>
          <w:t>standard deviation</w:t>
        </w:r>
      </w:hyperlink>
      <w:r w:rsidRPr="007539CE">
        <w:rPr>
          <w:rFonts w:ascii="Arial" w:eastAsia="Times New Roman" w:hAnsi="Arial" w:cs="Arial"/>
          <w:color w:val="000000" w:themeColor="text1"/>
          <w:sz w:val="29"/>
          <w:szCs w:val="29"/>
          <w:lang w:eastAsia="en-IN"/>
        </w:rPr>
        <w:t xml:space="preserve"> rather than beta as the risk measure—the fundamental premise behind 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is that investment performance has to be adjusted for risk in order to convey an accurate picture of performance. The </w:t>
      </w:r>
      <w:proofErr w:type="spellStart"/>
      <w:r w:rsidRPr="007539CE">
        <w:rPr>
          <w:rFonts w:ascii="Arial" w:eastAsia="Times New Roman" w:hAnsi="Arial" w:cs="Arial"/>
          <w:color w:val="000000" w:themeColor="text1"/>
          <w:sz w:val="29"/>
          <w:szCs w:val="29"/>
          <w:lang w:eastAsia="en-IN"/>
        </w:rPr>
        <w:t>Traynor</w:t>
      </w:r>
      <w:proofErr w:type="spellEnd"/>
      <w:r w:rsidRPr="007539CE">
        <w:rPr>
          <w:rFonts w:ascii="Arial" w:eastAsia="Times New Roman" w:hAnsi="Arial" w:cs="Arial"/>
          <w:color w:val="000000" w:themeColor="text1"/>
          <w:sz w:val="29"/>
          <w:szCs w:val="29"/>
          <w:lang w:eastAsia="en-IN"/>
        </w:rPr>
        <w:t xml:space="preserve"> Index was developed by </w:t>
      </w:r>
      <w:hyperlink r:id="rId136" w:history="1">
        <w:r w:rsidRPr="007539CE">
          <w:rPr>
            <w:rFonts w:ascii="Arial" w:eastAsia="Times New Roman" w:hAnsi="Arial" w:cs="Arial"/>
            <w:color w:val="000000" w:themeColor="text1"/>
            <w:sz w:val="29"/>
            <w:u w:val="single"/>
            <w:lang w:eastAsia="en-IN"/>
          </w:rPr>
          <w:t>economist</w:t>
        </w:r>
      </w:hyperlink>
      <w:r w:rsidRPr="007539CE">
        <w:rPr>
          <w:rFonts w:ascii="Arial" w:eastAsia="Times New Roman" w:hAnsi="Arial" w:cs="Arial"/>
          <w:color w:val="000000" w:themeColor="text1"/>
          <w:sz w:val="29"/>
          <w:szCs w:val="29"/>
          <w:lang w:eastAsia="en-IN"/>
        </w:rPr>
        <w:t xml:space="preserve"> Jack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an American economist who was also one of the inventors of the Capital Asset Pricing Model (CAPM).</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While a higher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may indicate a suitable investment, it's important for investors to keep in mind that one ratio should not be the only factor relied upon for investing decisions. More importantly, since 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is based on historical data, the information it provides does not necessarily indicate future performance.</w:t>
      </w:r>
    </w:p>
    <w:p w:rsidR="007539CE" w:rsidRPr="007539CE" w:rsidRDefault="007539CE" w:rsidP="00C46849">
      <w:pPr>
        <w:spacing w:after="0" w:line="240" w:lineRule="auto"/>
        <w:jc w:val="both"/>
        <w:outlineLvl w:val="1"/>
        <w:rPr>
          <w:rFonts w:ascii="Arial" w:eastAsia="Times New Roman" w:hAnsi="Arial" w:cs="Arial"/>
          <w:color w:val="000000" w:themeColor="text1"/>
          <w:sz w:val="36"/>
          <w:szCs w:val="36"/>
          <w:lang w:eastAsia="en-IN"/>
        </w:rPr>
      </w:pPr>
      <w:r w:rsidRPr="007539CE">
        <w:rPr>
          <w:rFonts w:ascii="Arial" w:eastAsia="Times New Roman" w:hAnsi="Arial" w:cs="Arial"/>
          <w:color w:val="000000" w:themeColor="text1"/>
          <w:sz w:val="36"/>
          <w:szCs w:val="36"/>
          <w:lang w:eastAsia="en-IN"/>
        </w:rPr>
        <w:t xml:space="preserve">Example of the </w:t>
      </w:r>
      <w:proofErr w:type="spellStart"/>
      <w:r w:rsidRPr="007539CE">
        <w:rPr>
          <w:rFonts w:ascii="Arial" w:eastAsia="Times New Roman" w:hAnsi="Arial" w:cs="Arial"/>
          <w:color w:val="000000" w:themeColor="text1"/>
          <w:sz w:val="36"/>
          <w:szCs w:val="36"/>
          <w:lang w:eastAsia="en-IN"/>
        </w:rPr>
        <w:t>Treynor</w:t>
      </w:r>
      <w:proofErr w:type="spellEnd"/>
      <w:r w:rsidRPr="007539CE">
        <w:rPr>
          <w:rFonts w:ascii="Arial" w:eastAsia="Times New Roman" w:hAnsi="Arial" w:cs="Arial"/>
          <w:color w:val="000000" w:themeColor="text1"/>
          <w:sz w:val="36"/>
          <w:szCs w:val="36"/>
          <w:lang w:eastAsia="en-IN"/>
        </w:rPr>
        <w:t xml:space="preserve"> Index</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For example, assume Portfolio Manager A achieves a </w:t>
      </w:r>
      <w:hyperlink r:id="rId137" w:history="1">
        <w:r w:rsidRPr="007539CE">
          <w:rPr>
            <w:rFonts w:ascii="Arial" w:eastAsia="Times New Roman" w:hAnsi="Arial" w:cs="Arial"/>
            <w:color w:val="000000" w:themeColor="text1"/>
            <w:sz w:val="29"/>
            <w:u w:val="single"/>
            <w:lang w:eastAsia="en-IN"/>
          </w:rPr>
          <w:t>portfolio return</w:t>
        </w:r>
      </w:hyperlink>
      <w:r w:rsidRPr="007539CE">
        <w:rPr>
          <w:rFonts w:ascii="Arial" w:eastAsia="Times New Roman" w:hAnsi="Arial" w:cs="Arial"/>
          <w:color w:val="000000" w:themeColor="text1"/>
          <w:sz w:val="29"/>
          <w:szCs w:val="29"/>
          <w:lang w:eastAsia="en-IN"/>
        </w:rPr>
        <w:t> of 8% in a given year, when the </w:t>
      </w:r>
      <w:hyperlink r:id="rId138" w:history="1">
        <w:r w:rsidRPr="007539CE">
          <w:rPr>
            <w:rFonts w:ascii="Arial" w:eastAsia="Times New Roman" w:hAnsi="Arial" w:cs="Arial"/>
            <w:color w:val="000000" w:themeColor="text1"/>
            <w:sz w:val="29"/>
            <w:u w:val="single"/>
            <w:lang w:eastAsia="en-IN"/>
          </w:rPr>
          <w:t>risk-free rate of return</w:t>
        </w:r>
      </w:hyperlink>
      <w:r w:rsidRPr="007539CE">
        <w:rPr>
          <w:rFonts w:ascii="Arial" w:eastAsia="Times New Roman" w:hAnsi="Arial" w:cs="Arial"/>
          <w:color w:val="000000" w:themeColor="text1"/>
          <w:sz w:val="29"/>
          <w:szCs w:val="29"/>
          <w:lang w:eastAsia="en-IN"/>
        </w:rPr>
        <w:t> is 5%; the portfolio had a beta of 1.5. In the same year, Portfolio Manager B achieved a portfolio return of 7%, with a portfolio beta of 0.8.</w:t>
      </w:r>
    </w:p>
    <w:p w:rsidR="007539CE" w:rsidRPr="007539CE" w:rsidRDefault="007539CE" w:rsidP="00C46849">
      <w:pPr>
        <w:spacing w:after="100" w:afterAutospacing="1" w:line="240" w:lineRule="auto"/>
        <w:jc w:val="both"/>
        <w:rPr>
          <w:rFonts w:ascii="Arial" w:eastAsia="Times New Roman" w:hAnsi="Arial" w:cs="Arial"/>
          <w:color w:val="000000" w:themeColor="text1"/>
          <w:sz w:val="29"/>
          <w:szCs w:val="29"/>
          <w:lang w:eastAsia="en-IN"/>
        </w:rPr>
      </w:pPr>
      <w:r w:rsidRPr="007539CE">
        <w:rPr>
          <w:rFonts w:ascii="Arial" w:eastAsia="Times New Roman" w:hAnsi="Arial" w:cs="Arial"/>
          <w:color w:val="000000" w:themeColor="text1"/>
          <w:sz w:val="29"/>
          <w:szCs w:val="29"/>
          <w:lang w:eastAsia="en-IN"/>
        </w:rPr>
        <w:t xml:space="preserve">The </w:t>
      </w:r>
      <w:proofErr w:type="spellStart"/>
      <w:r w:rsidRPr="007539CE">
        <w:rPr>
          <w:rFonts w:ascii="Arial" w:eastAsia="Times New Roman" w:hAnsi="Arial" w:cs="Arial"/>
          <w:color w:val="000000" w:themeColor="text1"/>
          <w:sz w:val="29"/>
          <w:szCs w:val="29"/>
          <w:lang w:eastAsia="en-IN"/>
        </w:rPr>
        <w:t>Treynor</w:t>
      </w:r>
      <w:proofErr w:type="spellEnd"/>
      <w:r w:rsidRPr="007539CE">
        <w:rPr>
          <w:rFonts w:ascii="Arial" w:eastAsia="Times New Roman" w:hAnsi="Arial" w:cs="Arial"/>
          <w:color w:val="000000" w:themeColor="text1"/>
          <w:sz w:val="29"/>
          <w:szCs w:val="29"/>
          <w:lang w:eastAsia="en-IN"/>
        </w:rPr>
        <w:t xml:space="preserve"> Index is therefore 2.0 for Portfolio Manager A, and 2.5 for Portfolio Manager B. While Portfolio Manager A exceeded Portfolio Manager B's performance by a percentage point, Portfolio Manager B actually had the better performance on a risk-adjusted basis.</w:t>
      </w:r>
    </w:p>
    <w:p w:rsidR="007539CE" w:rsidRPr="007539CE" w:rsidRDefault="007539CE" w:rsidP="00C46849">
      <w:pPr>
        <w:spacing w:line="240" w:lineRule="auto"/>
        <w:jc w:val="both"/>
        <w:rPr>
          <w:color w:val="000000" w:themeColor="text1"/>
        </w:rPr>
      </w:pPr>
      <w:hyperlink r:id="rId139" w:history="1">
        <w:r w:rsidRPr="007539CE">
          <w:rPr>
            <w:rStyle w:val="Hyperlink"/>
            <w:color w:val="000000" w:themeColor="text1"/>
          </w:rPr>
          <w:t>https://www.investopedia.com/terms/t/treynor-index.asp</w:t>
        </w:r>
      </w:hyperlink>
    </w:p>
    <w:p w:rsidR="007539CE" w:rsidRPr="007539CE" w:rsidRDefault="007539CE" w:rsidP="00C46849">
      <w:pPr>
        <w:spacing w:line="240" w:lineRule="auto"/>
        <w:jc w:val="both"/>
        <w:rPr>
          <w:color w:val="000000" w:themeColor="text1"/>
        </w:rPr>
      </w:pPr>
      <w:hyperlink r:id="rId140" w:history="1">
        <w:r w:rsidRPr="007539CE">
          <w:rPr>
            <w:rStyle w:val="Hyperlink"/>
            <w:color w:val="000000" w:themeColor="text1"/>
          </w:rPr>
          <w:t>https://www.investopedia.com/terms/j/jensensmeasure.asp#:~:text=The%20Jensen's%20measure%2C%20or%20Jensen's,and%20the%20average%20market%20return</w:t>
        </w:r>
      </w:hyperlink>
      <w:r w:rsidRPr="007539CE">
        <w:rPr>
          <w:color w:val="000000" w:themeColor="text1"/>
        </w:rPr>
        <w:t>.</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lastRenderedPageBreak/>
        <w:t>What Is the Jensen's Measure?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The Jensen's measure, or Jensen's alpha, is a risk-adjusted performance measure that represents the average return on a portfolio or investment, above or below that predicted by the capital asset pricing model (CAPM), given the portfolio's or investment's beta and the average market return. This metric is also commonly referred to as simply alpha.</w:t>
      </w:r>
    </w:p>
    <w:p w:rsidR="007539CE" w:rsidRPr="007539CE" w:rsidRDefault="007539CE" w:rsidP="00C46849">
      <w:pPr>
        <w:pStyle w:val="Heading3"/>
        <w:spacing w:before="0" w:beforeAutospacing="0" w:after="0" w:afterAutospacing="0"/>
        <w:jc w:val="both"/>
        <w:rPr>
          <w:rFonts w:ascii="Arial" w:hAnsi="Arial" w:cs="Arial"/>
          <w:b w:val="0"/>
          <w:bCs w:val="0"/>
          <w:caps/>
          <w:color w:val="000000" w:themeColor="text1"/>
        </w:rPr>
      </w:pPr>
      <w:r w:rsidRPr="007539CE">
        <w:rPr>
          <w:rFonts w:ascii="Arial" w:hAnsi="Arial" w:cs="Arial"/>
          <w:b w:val="0"/>
          <w:bCs w:val="0"/>
          <w:caps/>
          <w:color w:val="000000" w:themeColor="text1"/>
        </w:rPr>
        <w:t>KEY TAKEAWAYS</w:t>
      </w:r>
    </w:p>
    <w:p w:rsidR="007539CE" w:rsidRPr="007539CE" w:rsidRDefault="007539CE" w:rsidP="00C46849">
      <w:pPr>
        <w:numPr>
          <w:ilvl w:val="0"/>
          <w:numId w:val="15"/>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The Jensen's measure is the difference in how much a person returns vs. the overall market.</w:t>
      </w:r>
    </w:p>
    <w:p w:rsidR="007539CE" w:rsidRPr="007539CE" w:rsidRDefault="007539CE" w:rsidP="00C46849">
      <w:pPr>
        <w:numPr>
          <w:ilvl w:val="0"/>
          <w:numId w:val="15"/>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Jensen's measure is commonly referred to as alpha. When a manager outperforms the market concurrent to risk, they have "delivered alpha" to their clients.</w:t>
      </w:r>
    </w:p>
    <w:p w:rsidR="007539CE" w:rsidRPr="007539CE" w:rsidRDefault="007539CE" w:rsidP="00C46849">
      <w:pPr>
        <w:numPr>
          <w:ilvl w:val="0"/>
          <w:numId w:val="15"/>
        </w:numPr>
        <w:spacing w:before="100" w:beforeAutospacing="1" w:after="100" w:afterAutospacing="1" w:line="240" w:lineRule="auto"/>
        <w:jc w:val="both"/>
        <w:rPr>
          <w:rFonts w:ascii="Arial" w:hAnsi="Arial" w:cs="Arial"/>
          <w:color w:val="000000" w:themeColor="text1"/>
          <w:sz w:val="29"/>
          <w:szCs w:val="29"/>
        </w:rPr>
      </w:pPr>
      <w:r w:rsidRPr="007539CE">
        <w:rPr>
          <w:rFonts w:ascii="Arial" w:hAnsi="Arial" w:cs="Arial"/>
          <w:color w:val="000000" w:themeColor="text1"/>
          <w:sz w:val="29"/>
          <w:szCs w:val="29"/>
        </w:rPr>
        <w:t>The measure accounts for the risk-free rate of return for the time period.</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Understanding Jensen's Measure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To accurately analyze the performance of an </w:t>
      </w:r>
      <w:hyperlink r:id="rId141" w:history="1">
        <w:r w:rsidRPr="007539CE">
          <w:rPr>
            <w:rStyle w:val="Hyperlink"/>
            <w:rFonts w:ascii="Arial" w:hAnsi="Arial" w:cs="Arial"/>
            <w:color w:val="000000" w:themeColor="text1"/>
            <w:sz w:val="29"/>
            <w:szCs w:val="29"/>
          </w:rPr>
          <w:t>investment manager</w:t>
        </w:r>
      </w:hyperlink>
      <w:r w:rsidRPr="007539CE">
        <w:rPr>
          <w:rFonts w:ascii="Arial" w:hAnsi="Arial" w:cs="Arial"/>
          <w:color w:val="000000" w:themeColor="text1"/>
          <w:sz w:val="29"/>
          <w:szCs w:val="29"/>
        </w:rPr>
        <w:t>, an investor must look not only at the overall return of a portfolio but also at the risk of that portfolio to see if the investment's return compensates for the risk it takes. For example, if two mutual funds both have a 12% return, a rational investor should prefer the less risky fund. Jensen's measure is one of the ways to determine if a portfolio is earning the proper return for its level of risk.</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If the value is positive, then the portfolio is earning excess returns. In other words, a positive value for Jensen's alpha means a </w:t>
      </w:r>
      <w:hyperlink r:id="rId142" w:history="1">
        <w:r w:rsidRPr="007539CE">
          <w:rPr>
            <w:rStyle w:val="Hyperlink"/>
            <w:rFonts w:ascii="Arial" w:hAnsi="Arial" w:cs="Arial"/>
            <w:color w:val="000000" w:themeColor="text1"/>
            <w:sz w:val="29"/>
            <w:szCs w:val="29"/>
          </w:rPr>
          <w:t>fund manager</w:t>
        </w:r>
      </w:hyperlink>
      <w:r w:rsidRPr="007539CE">
        <w:rPr>
          <w:rFonts w:ascii="Arial" w:hAnsi="Arial" w:cs="Arial"/>
          <w:color w:val="000000" w:themeColor="text1"/>
          <w:sz w:val="29"/>
          <w:szCs w:val="29"/>
        </w:rPr>
        <w:t> has "beat the market" with their stock-picking skills.</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Real World Example of Jensen's Measure</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Assuming the CAPM is correct, Jensen's alpha is calculated using the following four variables:</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Using these variables, the formula for Jensen's alpha is:</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Alpha = </w:t>
      </w:r>
      <w:proofErr w:type="gramStart"/>
      <w:r w:rsidRPr="007539CE">
        <w:rPr>
          <w:rFonts w:ascii="Arial" w:hAnsi="Arial" w:cs="Arial"/>
          <w:color w:val="000000" w:themeColor="text1"/>
          <w:sz w:val="29"/>
          <w:szCs w:val="29"/>
        </w:rPr>
        <w:t>R(</w:t>
      </w:r>
      <w:proofErr w:type="spellStart"/>
      <w:proofErr w:type="gramEnd"/>
      <w:r w:rsidRPr="007539CE">
        <w:rPr>
          <w:rFonts w:ascii="Arial" w:hAnsi="Arial" w:cs="Arial"/>
          <w:color w:val="000000" w:themeColor="text1"/>
          <w:sz w:val="29"/>
          <w:szCs w:val="29"/>
        </w:rPr>
        <w:t>i</w:t>
      </w:r>
      <w:proofErr w:type="spellEnd"/>
      <w:r w:rsidRPr="007539CE">
        <w:rPr>
          <w:rFonts w:ascii="Arial" w:hAnsi="Arial" w:cs="Arial"/>
          <w:color w:val="000000" w:themeColor="text1"/>
          <w:sz w:val="29"/>
          <w:szCs w:val="29"/>
        </w:rPr>
        <w:t>) - (R(f) + B x (R(m) - R(f)))</w:t>
      </w:r>
    </w:p>
    <w:p w:rsidR="007539CE" w:rsidRPr="007539CE" w:rsidRDefault="007539CE" w:rsidP="00C46849">
      <w:pPr>
        <w:pStyle w:val="comp"/>
        <w:spacing w:before="0" w:beforeAutospacing="0"/>
        <w:jc w:val="both"/>
        <w:rPr>
          <w:rFonts w:ascii="Arial" w:hAnsi="Arial" w:cs="Arial"/>
          <w:color w:val="000000" w:themeColor="text1"/>
          <w:sz w:val="29"/>
          <w:szCs w:val="29"/>
        </w:rPr>
      </w:pPr>
      <w:proofErr w:type="gramStart"/>
      <w:r w:rsidRPr="007539CE">
        <w:rPr>
          <w:rStyle w:val="Strong"/>
          <w:rFonts w:ascii="Arial" w:hAnsi="Arial" w:cs="Arial"/>
          <w:color w:val="000000" w:themeColor="text1"/>
          <w:sz w:val="29"/>
          <w:szCs w:val="29"/>
        </w:rPr>
        <w:t>where</w:t>
      </w:r>
      <w:proofErr w:type="gramEnd"/>
      <w:r w:rsidRPr="007539CE">
        <w:rPr>
          <w:rStyle w:val="Strong"/>
          <w:rFonts w:ascii="Arial" w:hAnsi="Arial" w:cs="Arial"/>
          <w:color w:val="000000" w:themeColor="text1"/>
          <w:sz w:val="29"/>
          <w:szCs w:val="29"/>
        </w:rPr>
        <w:t>:</w:t>
      </w:r>
    </w:p>
    <w:p w:rsidR="007539CE" w:rsidRPr="007539CE" w:rsidRDefault="007539CE" w:rsidP="00C46849">
      <w:pPr>
        <w:pStyle w:val="comp"/>
        <w:spacing w:before="0" w:beforeAutospacing="0"/>
        <w:jc w:val="both"/>
        <w:rPr>
          <w:rFonts w:ascii="Arial" w:hAnsi="Arial" w:cs="Arial"/>
          <w:color w:val="000000" w:themeColor="text1"/>
          <w:sz w:val="29"/>
          <w:szCs w:val="29"/>
        </w:rPr>
      </w:pPr>
      <w:proofErr w:type="gramStart"/>
      <w:r w:rsidRPr="007539CE">
        <w:rPr>
          <w:rFonts w:ascii="Arial" w:hAnsi="Arial" w:cs="Arial"/>
          <w:color w:val="000000" w:themeColor="text1"/>
          <w:sz w:val="29"/>
          <w:szCs w:val="29"/>
        </w:rPr>
        <w:t>R(</w:t>
      </w:r>
      <w:proofErr w:type="spellStart"/>
      <w:proofErr w:type="gramEnd"/>
      <w:r w:rsidRPr="007539CE">
        <w:rPr>
          <w:rFonts w:ascii="Arial" w:hAnsi="Arial" w:cs="Arial"/>
          <w:color w:val="000000" w:themeColor="text1"/>
          <w:sz w:val="29"/>
          <w:szCs w:val="29"/>
        </w:rPr>
        <w:t>i</w:t>
      </w:r>
      <w:proofErr w:type="spellEnd"/>
      <w:r w:rsidRPr="007539CE">
        <w:rPr>
          <w:rFonts w:ascii="Arial" w:hAnsi="Arial" w:cs="Arial"/>
          <w:color w:val="000000" w:themeColor="text1"/>
          <w:sz w:val="29"/>
          <w:szCs w:val="29"/>
        </w:rPr>
        <w:t>) = the realized return of the portfolio or investment</w:t>
      </w:r>
    </w:p>
    <w:p w:rsidR="007539CE" w:rsidRPr="007539CE" w:rsidRDefault="007539CE" w:rsidP="00C46849">
      <w:pPr>
        <w:pStyle w:val="comp"/>
        <w:spacing w:before="0" w:beforeAutospacing="0"/>
        <w:jc w:val="both"/>
        <w:rPr>
          <w:rFonts w:ascii="Arial" w:hAnsi="Arial" w:cs="Arial"/>
          <w:color w:val="000000" w:themeColor="text1"/>
          <w:sz w:val="29"/>
          <w:szCs w:val="29"/>
        </w:rPr>
      </w:pPr>
      <w:proofErr w:type="gramStart"/>
      <w:r w:rsidRPr="007539CE">
        <w:rPr>
          <w:rFonts w:ascii="Arial" w:hAnsi="Arial" w:cs="Arial"/>
          <w:color w:val="000000" w:themeColor="text1"/>
          <w:sz w:val="29"/>
          <w:szCs w:val="29"/>
        </w:rPr>
        <w:lastRenderedPageBreak/>
        <w:t>R(</w:t>
      </w:r>
      <w:proofErr w:type="gramEnd"/>
      <w:r w:rsidRPr="007539CE">
        <w:rPr>
          <w:rFonts w:ascii="Arial" w:hAnsi="Arial" w:cs="Arial"/>
          <w:color w:val="000000" w:themeColor="text1"/>
          <w:sz w:val="29"/>
          <w:szCs w:val="29"/>
        </w:rPr>
        <w:t>m) = the realized return of the appropriate market index</w:t>
      </w:r>
    </w:p>
    <w:p w:rsidR="007539CE" w:rsidRPr="007539CE" w:rsidRDefault="007539CE" w:rsidP="00C46849">
      <w:pPr>
        <w:pStyle w:val="comp"/>
        <w:spacing w:before="0" w:beforeAutospacing="0"/>
        <w:jc w:val="both"/>
        <w:rPr>
          <w:rFonts w:ascii="Arial" w:hAnsi="Arial" w:cs="Arial"/>
          <w:color w:val="000000" w:themeColor="text1"/>
          <w:sz w:val="29"/>
          <w:szCs w:val="29"/>
        </w:rPr>
      </w:pPr>
      <w:proofErr w:type="gramStart"/>
      <w:r w:rsidRPr="007539CE">
        <w:rPr>
          <w:rFonts w:ascii="Arial" w:hAnsi="Arial" w:cs="Arial"/>
          <w:color w:val="000000" w:themeColor="text1"/>
          <w:sz w:val="29"/>
          <w:szCs w:val="29"/>
        </w:rPr>
        <w:t>R(</w:t>
      </w:r>
      <w:proofErr w:type="gramEnd"/>
      <w:r w:rsidRPr="007539CE">
        <w:rPr>
          <w:rFonts w:ascii="Arial" w:hAnsi="Arial" w:cs="Arial"/>
          <w:color w:val="000000" w:themeColor="text1"/>
          <w:sz w:val="29"/>
          <w:szCs w:val="29"/>
        </w:rPr>
        <w:t>f) = the risk-free rate of return for the time period</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B = the beta of the portfolio of investment with respect to the chosen market index</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For example, assume a mutual fund realized a return of 15% last year. The appropriate market index for this fund returned 12%. The beta of the fund versus that same index is 1.2, and the risk-free rate is 3%. The fund's alpha is calculated as:</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Alpha = 15% - (3% + 1.2 x (12% - 3%)) = 15% - 13.8% = 1.2%.</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Given a beta of 1.2, the mutual fund is expected to be riskier than the index, and thus earn more. A positive alpha in this example shows that the mutual fund manager earned more than enough return to be compensated for the risk they took over the course of the year. If the mutual fund only returned 13%, the calculated alpha would be -0.8%. With a negative alpha, the mutual fund manager would not have earned enough return given the amount of risk they were taking.</w:t>
      </w:r>
    </w:p>
    <w:p w:rsidR="007539CE" w:rsidRPr="007539CE" w:rsidRDefault="007539CE" w:rsidP="00C46849">
      <w:pPr>
        <w:pStyle w:val="Heading2"/>
        <w:spacing w:before="0" w:beforeAutospacing="0" w:after="0" w:afterAutospacing="0"/>
        <w:jc w:val="both"/>
        <w:rPr>
          <w:rFonts w:ascii="Arial" w:hAnsi="Arial" w:cs="Arial"/>
          <w:b w:val="0"/>
          <w:bCs w:val="0"/>
          <w:color w:val="000000" w:themeColor="text1"/>
        </w:rPr>
      </w:pPr>
      <w:r w:rsidRPr="007539CE">
        <w:rPr>
          <w:rStyle w:val="mntl-sc-block-headingtext"/>
          <w:rFonts w:ascii="Arial" w:hAnsi="Arial" w:cs="Arial"/>
          <w:b w:val="0"/>
          <w:bCs w:val="0"/>
          <w:color w:val="000000" w:themeColor="text1"/>
        </w:rPr>
        <w:t>Special Consideration: EMH</w:t>
      </w:r>
    </w:p>
    <w:p w:rsidR="007539CE" w:rsidRPr="007539CE" w:rsidRDefault="007539CE" w:rsidP="00C46849">
      <w:pPr>
        <w:pStyle w:val="comp"/>
        <w:spacing w:before="0" w:beforeAutospacing="0"/>
        <w:jc w:val="both"/>
        <w:rPr>
          <w:rFonts w:ascii="Arial" w:hAnsi="Arial" w:cs="Arial"/>
          <w:color w:val="000000" w:themeColor="text1"/>
          <w:sz w:val="29"/>
          <w:szCs w:val="29"/>
        </w:rPr>
      </w:pPr>
      <w:r w:rsidRPr="007539CE">
        <w:rPr>
          <w:rFonts w:ascii="Arial" w:hAnsi="Arial" w:cs="Arial"/>
          <w:color w:val="000000" w:themeColor="text1"/>
          <w:sz w:val="29"/>
          <w:szCs w:val="29"/>
        </w:rPr>
        <w:t xml:space="preserve">Critics of Jensen's measure generally believe in the efficient market hypothesis (EMH), invented by Eugene </w:t>
      </w:r>
      <w:proofErr w:type="spellStart"/>
      <w:r w:rsidRPr="007539CE">
        <w:rPr>
          <w:rFonts w:ascii="Arial" w:hAnsi="Arial" w:cs="Arial"/>
          <w:color w:val="000000" w:themeColor="text1"/>
          <w:sz w:val="29"/>
          <w:szCs w:val="29"/>
        </w:rPr>
        <w:t>Fama</w:t>
      </w:r>
      <w:proofErr w:type="spellEnd"/>
      <w:r w:rsidRPr="007539CE">
        <w:rPr>
          <w:rFonts w:ascii="Arial" w:hAnsi="Arial" w:cs="Arial"/>
          <w:color w:val="000000" w:themeColor="text1"/>
          <w:sz w:val="29"/>
          <w:szCs w:val="29"/>
        </w:rPr>
        <w:t>, and argue that any portfolio manager's excess returns derive from luck or random chance rather than skill. Because the market has already priced in all available information, it is said to be "efficient" and accurately priced, the theory says, precluding any active manager from bringing anything new to the table. Further supporting the theory is the fact that many active managers fail to beat the market any more than those that invest their clients' money in passive </w:t>
      </w:r>
      <w:hyperlink r:id="rId143" w:history="1">
        <w:r w:rsidRPr="007539CE">
          <w:rPr>
            <w:rStyle w:val="Hyperlink"/>
            <w:rFonts w:ascii="Arial" w:hAnsi="Arial" w:cs="Arial"/>
            <w:color w:val="000000" w:themeColor="text1"/>
            <w:sz w:val="29"/>
            <w:szCs w:val="29"/>
          </w:rPr>
          <w:t>index funds</w:t>
        </w:r>
      </w:hyperlink>
      <w:r w:rsidRPr="007539CE">
        <w:rPr>
          <w:rFonts w:ascii="Arial" w:hAnsi="Arial" w:cs="Arial"/>
          <w:color w:val="000000" w:themeColor="text1"/>
          <w:sz w:val="29"/>
          <w:szCs w:val="29"/>
        </w:rPr>
        <w:t>.</w:t>
      </w:r>
    </w:p>
    <w:p w:rsidR="007539CE" w:rsidRPr="007539CE" w:rsidRDefault="007539CE" w:rsidP="00C46849">
      <w:pPr>
        <w:spacing w:line="240" w:lineRule="auto"/>
        <w:jc w:val="both"/>
        <w:rPr>
          <w:color w:val="000000" w:themeColor="text1"/>
        </w:rPr>
      </w:pPr>
    </w:p>
    <w:sectPr w:rsidR="007539CE" w:rsidRPr="007539CE" w:rsidSect="00F110C1">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KaTeX_Math">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97FDA"/>
    <w:multiLevelType w:val="multilevel"/>
    <w:tmpl w:val="2BF4A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6E92B5F"/>
    <w:multiLevelType w:val="multilevel"/>
    <w:tmpl w:val="53D0C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F4A01E3"/>
    <w:multiLevelType w:val="multilevel"/>
    <w:tmpl w:val="0FD23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F1611E5"/>
    <w:multiLevelType w:val="multilevel"/>
    <w:tmpl w:val="6A48C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40B5110C"/>
    <w:multiLevelType w:val="multilevel"/>
    <w:tmpl w:val="41748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2365772"/>
    <w:multiLevelType w:val="multilevel"/>
    <w:tmpl w:val="D69CD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45F45873"/>
    <w:multiLevelType w:val="multilevel"/>
    <w:tmpl w:val="E4D41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7804572"/>
    <w:multiLevelType w:val="multilevel"/>
    <w:tmpl w:val="F85EF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47E9781C"/>
    <w:multiLevelType w:val="multilevel"/>
    <w:tmpl w:val="2E444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4BE55B70"/>
    <w:multiLevelType w:val="multilevel"/>
    <w:tmpl w:val="3C1A1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F85765C"/>
    <w:multiLevelType w:val="multilevel"/>
    <w:tmpl w:val="D1F66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60F27C5F"/>
    <w:multiLevelType w:val="multilevel"/>
    <w:tmpl w:val="280CD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64346610"/>
    <w:multiLevelType w:val="multilevel"/>
    <w:tmpl w:val="9070A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68AD763A"/>
    <w:multiLevelType w:val="multilevel"/>
    <w:tmpl w:val="9DBCD4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8C3445A"/>
    <w:multiLevelType w:val="multilevel"/>
    <w:tmpl w:val="F37ED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0"/>
  </w:num>
  <w:num w:numId="3">
    <w:abstractNumId w:val="6"/>
  </w:num>
  <w:num w:numId="4">
    <w:abstractNumId w:val="13"/>
  </w:num>
  <w:num w:numId="5">
    <w:abstractNumId w:val="3"/>
  </w:num>
  <w:num w:numId="6">
    <w:abstractNumId w:val="2"/>
  </w:num>
  <w:num w:numId="7">
    <w:abstractNumId w:val="1"/>
  </w:num>
  <w:num w:numId="8">
    <w:abstractNumId w:val="10"/>
  </w:num>
  <w:num w:numId="9">
    <w:abstractNumId w:val="8"/>
  </w:num>
  <w:num w:numId="10">
    <w:abstractNumId w:val="9"/>
  </w:num>
  <w:num w:numId="11">
    <w:abstractNumId w:val="4"/>
  </w:num>
  <w:num w:numId="12">
    <w:abstractNumId w:val="14"/>
  </w:num>
  <w:num w:numId="13">
    <w:abstractNumId w:val="5"/>
  </w:num>
  <w:num w:numId="14">
    <w:abstractNumId w:val="7"/>
  </w:num>
  <w:num w:numId="1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3E0346"/>
    <w:rsid w:val="0035501A"/>
    <w:rsid w:val="003E0346"/>
    <w:rsid w:val="007539CE"/>
    <w:rsid w:val="0098557D"/>
    <w:rsid w:val="00C46849"/>
    <w:rsid w:val="00CE34A8"/>
    <w:rsid w:val="00DB64CA"/>
    <w:rsid w:val="00F110C1"/>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10C1"/>
  </w:style>
  <w:style w:type="paragraph" w:styleId="Heading1">
    <w:name w:val="heading 1"/>
    <w:basedOn w:val="Normal"/>
    <w:next w:val="Normal"/>
    <w:link w:val="Heading1Char"/>
    <w:uiPriority w:val="9"/>
    <w:qFormat/>
    <w:rsid w:val="007539C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DB64CA"/>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DB64CA"/>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DB64CA"/>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B64CA"/>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DB64CA"/>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DB64CA"/>
    <w:rPr>
      <w:rFonts w:ascii="Times New Roman" w:eastAsia="Times New Roman" w:hAnsi="Times New Roman" w:cs="Times New Roman"/>
      <w:b/>
      <w:bCs/>
      <w:sz w:val="24"/>
      <w:szCs w:val="24"/>
      <w:lang w:eastAsia="en-IN"/>
    </w:rPr>
  </w:style>
  <w:style w:type="character" w:customStyle="1" w:styleId="mntl-sc-block-headingtext">
    <w:name w:val="mntl-sc-block-heading__text"/>
    <w:basedOn w:val="DefaultParagraphFont"/>
    <w:rsid w:val="00DB64CA"/>
  </w:style>
  <w:style w:type="paragraph" w:customStyle="1" w:styleId="comp">
    <w:name w:val="comp"/>
    <w:basedOn w:val="Normal"/>
    <w:rsid w:val="00DB64CA"/>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unhideWhenUsed/>
    <w:rsid w:val="00DB64CA"/>
    <w:rPr>
      <w:color w:val="0000FF"/>
      <w:u w:val="single"/>
    </w:rPr>
  </w:style>
  <w:style w:type="character" w:customStyle="1" w:styleId="jw-volume-update">
    <w:name w:val="jw-volume-update"/>
    <w:basedOn w:val="DefaultParagraphFont"/>
    <w:rsid w:val="00DB64CA"/>
  </w:style>
  <w:style w:type="character" w:styleId="Emphasis">
    <w:name w:val="Emphasis"/>
    <w:basedOn w:val="DefaultParagraphFont"/>
    <w:uiPriority w:val="20"/>
    <w:qFormat/>
    <w:rsid w:val="00DB64CA"/>
    <w:rPr>
      <w:i/>
      <w:iCs/>
    </w:rPr>
  </w:style>
  <w:style w:type="character" w:customStyle="1" w:styleId="mntl-inline-citation">
    <w:name w:val="mntl-inline-citation"/>
    <w:basedOn w:val="DefaultParagraphFont"/>
    <w:rsid w:val="00DB64CA"/>
  </w:style>
  <w:style w:type="character" w:customStyle="1" w:styleId="mntl-sc-block-subheadingtext">
    <w:name w:val="mntl-sc-block-subheading__text"/>
    <w:basedOn w:val="DefaultParagraphFont"/>
    <w:rsid w:val="00DB64CA"/>
  </w:style>
  <w:style w:type="paragraph" w:styleId="NormalWeb">
    <w:name w:val="Normal (Web)"/>
    <w:basedOn w:val="Normal"/>
    <w:uiPriority w:val="99"/>
    <w:semiHidden/>
    <w:unhideWhenUsed/>
    <w:rsid w:val="00DB64CA"/>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DB64CA"/>
    <w:rPr>
      <w:b/>
      <w:bCs/>
    </w:rPr>
  </w:style>
  <w:style w:type="paragraph" w:styleId="BalloonText">
    <w:name w:val="Balloon Text"/>
    <w:basedOn w:val="Normal"/>
    <w:link w:val="BalloonTextChar"/>
    <w:uiPriority w:val="99"/>
    <w:semiHidden/>
    <w:unhideWhenUsed/>
    <w:rsid w:val="00DB64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64CA"/>
    <w:rPr>
      <w:rFonts w:ascii="Tahoma" w:hAnsi="Tahoma" w:cs="Tahoma"/>
      <w:sz w:val="16"/>
      <w:szCs w:val="16"/>
    </w:rPr>
  </w:style>
  <w:style w:type="character" w:customStyle="1" w:styleId="figure-article-caption-owner">
    <w:name w:val="figure-article-caption-owner"/>
    <w:basedOn w:val="DefaultParagraphFont"/>
    <w:rsid w:val="007539CE"/>
  </w:style>
  <w:style w:type="character" w:customStyle="1" w:styleId="katex-mathml">
    <w:name w:val="katex-mathml"/>
    <w:basedOn w:val="DefaultParagraphFont"/>
    <w:rsid w:val="007539CE"/>
  </w:style>
  <w:style w:type="character" w:customStyle="1" w:styleId="mord">
    <w:name w:val="mord"/>
    <w:basedOn w:val="DefaultParagraphFont"/>
    <w:rsid w:val="007539CE"/>
  </w:style>
  <w:style w:type="character" w:customStyle="1" w:styleId="vlist-s">
    <w:name w:val="vlist-s"/>
    <w:basedOn w:val="DefaultParagraphFont"/>
    <w:rsid w:val="007539CE"/>
  </w:style>
  <w:style w:type="character" w:customStyle="1" w:styleId="mrel">
    <w:name w:val="mrel"/>
    <w:basedOn w:val="DefaultParagraphFont"/>
    <w:rsid w:val="007539CE"/>
  </w:style>
  <w:style w:type="character" w:customStyle="1" w:styleId="mbin">
    <w:name w:val="mbin"/>
    <w:basedOn w:val="DefaultParagraphFont"/>
    <w:rsid w:val="007539CE"/>
  </w:style>
  <w:style w:type="character" w:customStyle="1" w:styleId="mopen">
    <w:name w:val="mopen"/>
    <w:basedOn w:val="DefaultParagraphFont"/>
    <w:rsid w:val="007539CE"/>
  </w:style>
  <w:style w:type="character" w:customStyle="1" w:styleId="mclose">
    <w:name w:val="mclose"/>
    <w:basedOn w:val="DefaultParagraphFont"/>
    <w:rsid w:val="007539CE"/>
  </w:style>
  <w:style w:type="character" w:customStyle="1" w:styleId="Heading1Char">
    <w:name w:val="Heading 1 Char"/>
    <w:basedOn w:val="DefaultParagraphFont"/>
    <w:link w:val="Heading1"/>
    <w:uiPriority w:val="9"/>
    <w:rsid w:val="007539CE"/>
    <w:rPr>
      <w:rFonts w:asciiTheme="majorHAnsi" w:eastAsiaTheme="majorEastAsia" w:hAnsiTheme="majorHAnsi" w:cstheme="majorBidi"/>
      <w:b/>
      <w:bCs/>
      <w:color w:val="365F91" w:themeColor="accent1" w:themeShade="BF"/>
      <w:sz w:val="28"/>
      <w:szCs w:val="28"/>
    </w:rPr>
  </w:style>
  <w:style w:type="character" w:customStyle="1" w:styleId="reviewed-by">
    <w:name w:val="reviewed-by"/>
    <w:basedOn w:val="DefaultParagraphFont"/>
    <w:rsid w:val="007539CE"/>
  </w:style>
  <w:style w:type="character" w:customStyle="1" w:styleId="reviewed-bytooltip">
    <w:name w:val="reviewed-by__tooltip"/>
    <w:basedOn w:val="DefaultParagraphFont"/>
    <w:rsid w:val="007539CE"/>
  </w:style>
  <w:style w:type="character" w:customStyle="1" w:styleId="linkwrapper">
    <w:name w:val="link__wrapper"/>
    <w:basedOn w:val="DefaultParagraphFont"/>
    <w:rsid w:val="007539CE"/>
  </w:style>
  <w:style w:type="paragraph" w:customStyle="1" w:styleId="comp1">
    <w:name w:val="comp1"/>
    <w:basedOn w:val="Normal"/>
    <w:rsid w:val="007539CE"/>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r="http://schemas.openxmlformats.org/officeDocument/2006/relationships" xmlns:w="http://schemas.openxmlformats.org/wordprocessingml/2006/main">
  <w:divs>
    <w:div w:id="11274029">
      <w:bodyDiv w:val="1"/>
      <w:marLeft w:val="0"/>
      <w:marRight w:val="0"/>
      <w:marTop w:val="0"/>
      <w:marBottom w:val="0"/>
      <w:divBdr>
        <w:top w:val="none" w:sz="0" w:space="0" w:color="auto"/>
        <w:left w:val="none" w:sz="0" w:space="0" w:color="auto"/>
        <w:bottom w:val="none" w:sz="0" w:space="0" w:color="auto"/>
        <w:right w:val="none" w:sz="0" w:space="0" w:color="auto"/>
      </w:divBdr>
      <w:divsChild>
        <w:div w:id="1629241919">
          <w:marLeft w:val="0"/>
          <w:marRight w:val="0"/>
          <w:marTop w:val="0"/>
          <w:marBottom w:val="0"/>
          <w:divBdr>
            <w:top w:val="none" w:sz="0" w:space="0" w:color="auto"/>
            <w:left w:val="none" w:sz="0" w:space="0" w:color="auto"/>
            <w:bottom w:val="none" w:sz="0" w:space="0" w:color="auto"/>
            <w:right w:val="none" w:sz="0" w:space="0" w:color="auto"/>
          </w:divBdr>
          <w:divsChild>
            <w:div w:id="515535242">
              <w:marLeft w:val="0"/>
              <w:marRight w:val="0"/>
              <w:marTop w:val="0"/>
              <w:marBottom w:val="0"/>
              <w:divBdr>
                <w:top w:val="none" w:sz="0" w:space="0" w:color="auto"/>
                <w:left w:val="none" w:sz="0" w:space="0" w:color="auto"/>
                <w:bottom w:val="none" w:sz="0" w:space="0" w:color="auto"/>
                <w:right w:val="none" w:sz="0" w:space="0" w:color="auto"/>
              </w:divBdr>
              <w:divsChild>
                <w:div w:id="1965041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108793">
          <w:marLeft w:val="0"/>
          <w:marRight w:val="0"/>
          <w:marTop w:val="0"/>
          <w:marBottom w:val="0"/>
          <w:divBdr>
            <w:top w:val="none" w:sz="0" w:space="0" w:color="auto"/>
            <w:left w:val="none" w:sz="0" w:space="0" w:color="auto"/>
            <w:bottom w:val="none" w:sz="0" w:space="0" w:color="auto"/>
            <w:right w:val="none" w:sz="0" w:space="0" w:color="auto"/>
          </w:divBdr>
          <w:divsChild>
            <w:div w:id="1029330143">
              <w:marLeft w:val="0"/>
              <w:marRight w:val="0"/>
              <w:marTop w:val="0"/>
              <w:marBottom w:val="0"/>
              <w:divBdr>
                <w:top w:val="none" w:sz="0" w:space="0" w:color="auto"/>
                <w:left w:val="none" w:sz="0" w:space="0" w:color="auto"/>
                <w:bottom w:val="none" w:sz="0" w:space="0" w:color="auto"/>
                <w:right w:val="none" w:sz="0" w:space="0" w:color="auto"/>
              </w:divBdr>
              <w:divsChild>
                <w:div w:id="250042361">
                  <w:marLeft w:val="-17"/>
                  <w:marRight w:val="-17"/>
                  <w:marTop w:val="0"/>
                  <w:marBottom w:val="0"/>
                  <w:divBdr>
                    <w:top w:val="none" w:sz="0" w:space="0" w:color="auto"/>
                    <w:left w:val="none" w:sz="0" w:space="0" w:color="auto"/>
                    <w:bottom w:val="none" w:sz="0" w:space="0" w:color="auto"/>
                    <w:right w:val="none" w:sz="0" w:space="0" w:color="auto"/>
                  </w:divBdr>
                </w:div>
                <w:div w:id="59983346">
                  <w:marLeft w:val="0"/>
                  <w:marRight w:val="0"/>
                  <w:marTop w:val="0"/>
                  <w:marBottom w:val="0"/>
                  <w:divBdr>
                    <w:top w:val="none" w:sz="0" w:space="0" w:color="auto"/>
                    <w:left w:val="none" w:sz="0" w:space="0" w:color="auto"/>
                    <w:bottom w:val="none" w:sz="0" w:space="0" w:color="auto"/>
                    <w:right w:val="none" w:sz="0" w:space="0" w:color="auto"/>
                  </w:divBdr>
                </w:div>
                <w:div w:id="930040181">
                  <w:marLeft w:val="0"/>
                  <w:marRight w:val="0"/>
                  <w:marTop w:val="0"/>
                  <w:marBottom w:val="0"/>
                  <w:divBdr>
                    <w:top w:val="none" w:sz="0" w:space="0" w:color="auto"/>
                    <w:left w:val="none" w:sz="0" w:space="0" w:color="auto"/>
                    <w:bottom w:val="none" w:sz="0" w:space="0" w:color="auto"/>
                    <w:right w:val="none" w:sz="0" w:space="0" w:color="auto"/>
                  </w:divBdr>
                  <w:divsChild>
                    <w:div w:id="1812945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6943332">
      <w:bodyDiv w:val="1"/>
      <w:marLeft w:val="0"/>
      <w:marRight w:val="0"/>
      <w:marTop w:val="0"/>
      <w:marBottom w:val="0"/>
      <w:divBdr>
        <w:top w:val="none" w:sz="0" w:space="0" w:color="auto"/>
        <w:left w:val="none" w:sz="0" w:space="0" w:color="auto"/>
        <w:bottom w:val="none" w:sz="0" w:space="0" w:color="auto"/>
        <w:right w:val="none" w:sz="0" w:space="0" w:color="auto"/>
      </w:divBdr>
      <w:divsChild>
        <w:div w:id="1791168015">
          <w:marLeft w:val="0"/>
          <w:marRight w:val="0"/>
          <w:marTop w:val="0"/>
          <w:marBottom w:val="0"/>
          <w:divBdr>
            <w:top w:val="none" w:sz="0" w:space="0" w:color="auto"/>
            <w:left w:val="none" w:sz="0" w:space="0" w:color="auto"/>
            <w:bottom w:val="none" w:sz="0" w:space="0" w:color="auto"/>
            <w:right w:val="none" w:sz="0" w:space="0" w:color="auto"/>
          </w:divBdr>
          <w:divsChild>
            <w:div w:id="1379009476">
              <w:marLeft w:val="0"/>
              <w:marRight w:val="0"/>
              <w:marTop w:val="0"/>
              <w:marBottom w:val="0"/>
              <w:divBdr>
                <w:top w:val="none" w:sz="0" w:space="0" w:color="auto"/>
                <w:left w:val="none" w:sz="0" w:space="0" w:color="auto"/>
                <w:bottom w:val="none" w:sz="0" w:space="0" w:color="auto"/>
                <w:right w:val="none" w:sz="0" w:space="0" w:color="auto"/>
              </w:divBdr>
            </w:div>
            <w:div w:id="2075545099">
              <w:marLeft w:val="0"/>
              <w:marRight w:val="0"/>
              <w:marTop w:val="0"/>
              <w:marBottom w:val="0"/>
              <w:divBdr>
                <w:top w:val="none" w:sz="0" w:space="0" w:color="auto"/>
                <w:left w:val="none" w:sz="0" w:space="0" w:color="auto"/>
                <w:bottom w:val="none" w:sz="0" w:space="0" w:color="auto"/>
                <w:right w:val="none" w:sz="0" w:space="0" w:color="auto"/>
              </w:divBdr>
            </w:div>
            <w:div w:id="430584478">
              <w:marLeft w:val="0"/>
              <w:marRight w:val="0"/>
              <w:marTop w:val="0"/>
              <w:marBottom w:val="0"/>
              <w:divBdr>
                <w:top w:val="none" w:sz="0" w:space="0" w:color="auto"/>
                <w:left w:val="none" w:sz="0" w:space="0" w:color="auto"/>
                <w:bottom w:val="none" w:sz="0" w:space="0" w:color="auto"/>
                <w:right w:val="none" w:sz="0" w:space="0" w:color="auto"/>
              </w:divBdr>
            </w:div>
          </w:divsChild>
        </w:div>
        <w:div w:id="1780953011">
          <w:marLeft w:val="0"/>
          <w:marRight w:val="0"/>
          <w:marTop w:val="0"/>
          <w:marBottom w:val="0"/>
          <w:divBdr>
            <w:top w:val="none" w:sz="0" w:space="0" w:color="auto"/>
            <w:left w:val="none" w:sz="0" w:space="0" w:color="auto"/>
            <w:bottom w:val="none" w:sz="0" w:space="0" w:color="auto"/>
            <w:right w:val="none" w:sz="0" w:space="0" w:color="auto"/>
          </w:divBdr>
          <w:divsChild>
            <w:div w:id="1323315580">
              <w:marLeft w:val="0"/>
              <w:marRight w:val="0"/>
              <w:marTop w:val="0"/>
              <w:marBottom w:val="0"/>
              <w:divBdr>
                <w:top w:val="none" w:sz="0" w:space="0" w:color="auto"/>
                <w:left w:val="none" w:sz="0" w:space="0" w:color="auto"/>
                <w:bottom w:val="none" w:sz="0" w:space="0" w:color="auto"/>
                <w:right w:val="none" w:sz="0" w:space="0" w:color="auto"/>
              </w:divBdr>
              <w:divsChild>
                <w:div w:id="1850756520">
                  <w:marLeft w:val="0"/>
                  <w:marRight w:val="0"/>
                  <w:marTop w:val="0"/>
                  <w:marBottom w:val="0"/>
                  <w:divBdr>
                    <w:top w:val="none" w:sz="0" w:space="0" w:color="auto"/>
                    <w:left w:val="none" w:sz="0" w:space="0" w:color="auto"/>
                    <w:bottom w:val="none" w:sz="0" w:space="0" w:color="auto"/>
                    <w:right w:val="none" w:sz="0" w:space="0" w:color="auto"/>
                  </w:divBdr>
                  <w:divsChild>
                    <w:div w:id="951480254">
                      <w:marLeft w:val="0"/>
                      <w:marRight w:val="0"/>
                      <w:marTop w:val="0"/>
                      <w:marBottom w:val="0"/>
                      <w:divBdr>
                        <w:top w:val="none" w:sz="0" w:space="0" w:color="auto"/>
                        <w:left w:val="none" w:sz="0" w:space="0" w:color="auto"/>
                        <w:bottom w:val="none" w:sz="0" w:space="0" w:color="auto"/>
                        <w:right w:val="none" w:sz="0" w:space="0" w:color="auto"/>
                      </w:divBdr>
                      <w:divsChild>
                        <w:div w:id="158545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8832684">
      <w:bodyDiv w:val="1"/>
      <w:marLeft w:val="0"/>
      <w:marRight w:val="0"/>
      <w:marTop w:val="0"/>
      <w:marBottom w:val="0"/>
      <w:divBdr>
        <w:top w:val="none" w:sz="0" w:space="0" w:color="auto"/>
        <w:left w:val="none" w:sz="0" w:space="0" w:color="auto"/>
        <w:bottom w:val="none" w:sz="0" w:space="0" w:color="auto"/>
        <w:right w:val="none" w:sz="0" w:space="0" w:color="auto"/>
      </w:divBdr>
      <w:divsChild>
        <w:div w:id="20664643">
          <w:marLeft w:val="0"/>
          <w:marRight w:val="0"/>
          <w:marTop w:val="0"/>
          <w:marBottom w:val="0"/>
          <w:divBdr>
            <w:top w:val="none" w:sz="0" w:space="0" w:color="auto"/>
            <w:left w:val="none" w:sz="0" w:space="0" w:color="auto"/>
            <w:bottom w:val="none" w:sz="0" w:space="0" w:color="auto"/>
            <w:right w:val="none" w:sz="0" w:space="0" w:color="auto"/>
          </w:divBdr>
          <w:divsChild>
            <w:div w:id="1796563617">
              <w:marLeft w:val="0"/>
              <w:marRight w:val="0"/>
              <w:marTop w:val="0"/>
              <w:marBottom w:val="0"/>
              <w:divBdr>
                <w:top w:val="none" w:sz="0" w:space="0" w:color="auto"/>
                <w:left w:val="none" w:sz="0" w:space="0" w:color="auto"/>
                <w:bottom w:val="none" w:sz="0" w:space="0" w:color="auto"/>
                <w:right w:val="none" w:sz="0" w:space="0" w:color="auto"/>
              </w:divBdr>
            </w:div>
            <w:div w:id="1600680101">
              <w:marLeft w:val="0"/>
              <w:marRight w:val="0"/>
              <w:marTop w:val="0"/>
              <w:marBottom w:val="0"/>
              <w:divBdr>
                <w:top w:val="none" w:sz="0" w:space="0" w:color="auto"/>
                <w:left w:val="none" w:sz="0" w:space="0" w:color="auto"/>
                <w:bottom w:val="none" w:sz="0" w:space="0" w:color="auto"/>
                <w:right w:val="none" w:sz="0" w:space="0" w:color="auto"/>
              </w:divBdr>
            </w:div>
            <w:div w:id="574583906">
              <w:marLeft w:val="0"/>
              <w:marRight w:val="0"/>
              <w:marTop w:val="0"/>
              <w:marBottom w:val="0"/>
              <w:divBdr>
                <w:top w:val="none" w:sz="0" w:space="0" w:color="auto"/>
                <w:left w:val="none" w:sz="0" w:space="0" w:color="auto"/>
                <w:bottom w:val="none" w:sz="0" w:space="0" w:color="auto"/>
                <w:right w:val="none" w:sz="0" w:space="0" w:color="auto"/>
              </w:divBdr>
            </w:div>
          </w:divsChild>
        </w:div>
        <w:div w:id="1661423201">
          <w:marLeft w:val="0"/>
          <w:marRight w:val="0"/>
          <w:marTop w:val="0"/>
          <w:marBottom w:val="0"/>
          <w:divBdr>
            <w:top w:val="none" w:sz="0" w:space="0" w:color="auto"/>
            <w:left w:val="none" w:sz="0" w:space="0" w:color="auto"/>
            <w:bottom w:val="none" w:sz="0" w:space="0" w:color="auto"/>
            <w:right w:val="none" w:sz="0" w:space="0" w:color="auto"/>
          </w:divBdr>
          <w:divsChild>
            <w:div w:id="1334532549">
              <w:marLeft w:val="0"/>
              <w:marRight w:val="0"/>
              <w:marTop w:val="0"/>
              <w:marBottom w:val="0"/>
              <w:divBdr>
                <w:top w:val="single" w:sz="6" w:space="0" w:color="D4D4D4"/>
                <w:left w:val="single" w:sz="6" w:space="0" w:color="D4D4D4"/>
                <w:bottom w:val="single" w:sz="6" w:space="0" w:color="D4D4D4"/>
                <w:right w:val="single" w:sz="6" w:space="0" w:color="D4D4D4"/>
              </w:divBdr>
              <w:divsChild>
                <w:div w:id="229970270">
                  <w:marLeft w:val="0"/>
                  <w:marRight w:val="0"/>
                  <w:marTop w:val="0"/>
                  <w:marBottom w:val="0"/>
                  <w:divBdr>
                    <w:top w:val="none" w:sz="0" w:space="0" w:color="auto"/>
                    <w:left w:val="none" w:sz="0" w:space="0" w:color="auto"/>
                    <w:bottom w:val="none" w:sz="0" w:space="0" w:color="auto"/>
                    <w:right w:val="none" w:sz="0" w:space="0" w:color="auto"/>
                  </w:divBdr>
                  <w:divsChild>
                    <w:div w:id="517475968">
                      <w:marLeft w:val="0"/>
                      <w:marRight w:val="0"/>
                      <w:marTop w:val="0"/>
                      <w:marBottom w:val="0"/>
                      <w:divBdr>
                        <w:top w:val="none" w:sz="0" w:space="0" w:color="auto"/>
                        <w:left w:val="none" w:sz="0" w:space="0" w:color="auto"/>
                        <w:bottom w:val="none" w:sz="0" w:space="0" w:color="auto"/>
                        <w:right w:val="none" w:sz="0" w:space="0" w:color="auto"/>
                      </w:divBdr>
                    </w:div>
                    <w:div w:id="855654608">
                      <w:marLeft w:val="0"/>
                      <w:marRight w:val="0"/>
                      <w:marTop w:val="0"/>
                      <w:marBottom w:val="0"/>
                      <w:divBdr>
                        <w:top w:val="none" w:sz="0" w:space="0" w:color="auto"/>
                        <w:left w:val="none" w:sz="0" w:space="0" w:color="auto"/>
                        <w:bottom w:val="none" w:sz="0" w:space="0" w:color="auto"/>
                        <w:right w:val="none" w:sz="0" w:space="0" w:color="auto"/>
                      </w:divBdr>
                    </w:div>
                    <w:div w:id="329479810">
                      <w:marLeft w:val="0"/>
                      <w:marRight w:val="0"/>
                      <w:marTop w:val="0"/>
                      <w:marBottom w:val="0"/>
                      <w:divBdr>
                        <w:top w:val="none" w:sz="0" w:space="0" w:color="auto"/>
                        <w:left w:val="none" w:sz="0" w:space="0" w:color="auto"/>
                        <w:bottom w:val="none" w:sz="0" w:space="0" w:color="auto"/>
                        <w:right w:val="none" w:sz="0" w:space="0" w:color="auto"/>
                      </w:divBdr>
                    </w:div>
                    <w:div w:id="8409329">
                      <w:marLeft w:val="0"/>
                      <w:marRight w:val="0"/>
                      <w:marTop w:val="0"/>
                      <w:marBottom w:val="0"/>
                      <w:divBdr>
                        <w:top w:val="none" w:sz="0" w:space="0" w:color="auto"/>
                        <w:left w:val="none" w:sz="0" w:space="0" w:color="auto"/>
                        <w:bottom w:val="none" w:sz="0" w:space="0" w:color="auto"/>
                        <w:right w:val="none" w:sz="0" w:space="0" w:color="auto"/>
                      </w:divBdr>
                    </w:div>
                    <w:div w:id="1148088350">
                      <w:marLeft w:val="0"/>
                      <w:marRight w:val="0"/>
                      <w:marTop w:val="0"/>
                      <w:marBottom w:val="0"/>
                      <w:divBdr>
                        <w:top w:val="none" w:sz="0" w:space="0" w:color="auto"/>
                        <w:left w:val="none" w:sz="0" w:space="0" w:color="auto"/>
                        <w:bottom w:val="none" w:sz="0" w:space="0" w:color="auto"/>
                        <w:right w:val="none" w:sz="0" w:space="0" w:color="auto"/>
                      </w:divBdr>
                    </w:div>
                    <w:div w:id="1707949635">
                      <w:marLeft w:val="0"/>
                      <w:marRight w:val="0"/>
                      <w:marTop w:val="0"/>
                      <w:marBottom w:val="0"/>
                      <w:divBdr>
                        <w:top w:val="none" w:sz="0" w:space="0" w:color="auto"/>
                        <w:left w:val="none" w:sz="0" w:space="0" w:color="auto"/>
                        <w:bottom w:val="none" w:sz="0" w:space="0" w:color="auto"/>
                        <w:right w:val="none" w:sz="0" w:space="0" w:color="auto"/>
                      </w:divBdr>
                    </w:div>
                    <w:div w:id="836582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437467">
              <w:marLeft w:val="0"/>
              <w:marRight w:val="0"/>
              <w:marTop w:val="0"/>
              <w:marBottom w:val="0"/>
              <w:divBdr>
                <w:top w:val="none" w:sz="0" w:space="0" w:color="auto"/>
                <w:left w:val="none" w:sz="0" w:space="0" w:color="auto"/>
                <w:bottom w:val="none" w:sz="0" w:space="0" w:color="auto"/>
                <w:right w:val="none" w:sz="0" w:space="0" w:color="auto"/>
              </w:divBdr>
              <w:divsChild>
                <w:div w:id="1694306781">
                  <w:marLeft w:val="0"/>
                  <w:marRight w:val="0"/>
                  <w:marTop w:val="0"/>
                  <w:marBottom w:val="0"/>
                  <w:divBdr>
                    <w:top w:val="none" w:sz="0" w:space="0" w:color="auto"/>
                    <w:left w:val="none" w:sz="0" w:space="0" w:color="auto"/>
                    <w:bottom w:val="none" w:sz="0" w:space="0" w:color="auto"/>
                    <w:right w:val="none" w:sz="0" w:space="0" w:color="auto"/>
                  </w:divBdr>
                  <w:divsChild>
                    <w:div w:id="766970763">
                      <w:marLeft w:val="0"/>
                      <w:marRight w:val="0"/>
                      <w:marTop w:val="0"/>
                      <w:marBottom w:val="0"/>
                      <w:divBdr>
                        <w:top w:val="none" w:sz="0" w:space="0" w:color="auto"/>
                        <w:left w:val="none" w:sz="0" w:space="0" w:color="auto"/>
                        <w:bottom w:val="none" w:sz="0" w:space="0" w:color="auto"/>
                        <w:right w:val="none" w:sz="0" w:space="0" w:color="auto"/>
                      </w:divBdr>
                      <w:divsChild>
                        <w:div w:id="2094081236">
                          <w:marLeft w:val="-17"/>
                          <w:marRight w:val="-17"/>
                          <w:marTop w:val="0"/>
                          <w:marBottom w:val="0"/>
                          <w:divBdr>
                            <w:top w:val="none" w:sz="0" w:space="0" w:color="auto"/>
                            <w:left w:val="none" w:sz="0" w:space="0" w:color="auto"/>
                            <w:bottom w:val="none" w:sz="0" w:space="0" w:color="auto"/>
                            <w:right w:val="none" w:sz="0" w:space="0" w:color="auto"/>
                          </w:divBdr>
                        </w:div>
                        <w:div w:id="1629048445">
                          <w:marLeft w:val="0"/>
                          <w:marRight w:val="0"/>
                          <w:marTop w:val="0"/>
                          <w:marBottom w:val="0"/>
                          <w:divBdr>
                            <w:top w:val="none" w:sz="0" w:space="0" w:color="auto"/>
                            <w:left w:val="none" w:sz="0" w:space="0" w:color="auto"/>
                            <w:bottom w:val="none" w:sz="0" w:space="0" w:color="auto"/>
                            <w:right w:val="none" w:sz="0" w:space="0" w:color="auto"/>
                          </w:divBdr>
                        </w:div>
                        <w:div w:id="418404820">
                          <w:marLeft w:val="0"/>
                          <w:marRight w:val="0"/>
                          <w:marTop w:val="0"/>
                          <w:marBottom w:val="0"/>
                          <w:divBdr>
                            <w:top w:val="none" w:sz="0" w:space="0" w:color="auto"/>
                            <w:left w:val="none" w:sz="0" w:space="0" w:color="auto"/>
                            <w:bottom w:val="none" w:sz="0" w:space="0" w:color="auto"/>
                            <w:right w:val="none" w:sz="0" w:space="0" w:color="auto"/>
                          </w:divBdr>
                          <w:divsChild>
                            <w:div w:id="78172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057194">
                  <w:marLeft w:val="0"/>
                  <w:marRight w:val="0"/>
                  <w:marTop w:val="0"/>
                  <w:marBottom w:val="0"/>
                  <w:divBdr>
                    <w:top w:val="none" w:sz="0" w:space="0" w:color="auto"/>
                    <w:left w:val="none" w:sz="0" w:space="0" w:color="auto"/>
                    <w:bottom w:val="none" w:sz="0" w:space="0" w:color="auto"/>
                    <w:right w:val="none" w:sz="0" w:space="0" w:color="auto"/>
                  </w:divBdr>
                  <w:divsChild>
                    <w:div w:id="1373458357">
                      <w:marLeft w:val="0"/>
                      <w:marRight w:val="0"/>
                      <w:marTop w:val="0"/>
                      <w:marBottom w:val="0"/>
                      <w:divBdr>
                        <w:top w:val="none" w:sz="0" w:space="0" w:color="auto"/>
                        <w:left w:val="none" w:sz="0" w:space="0" w:color="auto"/>
                        <w:bottom w:val="none" w:sz="0" w:space="0" w:color="auto"/>
                        <w:right w:val="none" w:sz="0" w:space="0" w:color="auto"/>
                      </w:divBdr>
                      <w:divsChild>
                        <w:div w:id="1014645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467509">
      <w:bodyDiv w:val="1"/>
      <w:marLeft w:val="0"/>
      <w:marRight w:val="0"/>
      <w:marTop w:val="0"/>
      <w:marBottom w:val="0"/>
      <w:divBdr>
        <w:top w:val="none" w:sz="0" w:space="0" w:color="auto"/>
        <w:left w:val="none" w:sz="0" w:space="0" w:color="auto"/>
        <w:bottom w:val="none" w:sz="0" w:space="0" w:color="auto"/>
        <w:right w:val="none" w:sz="0" w:space="0" w:color="auto"/>
      </w:divBdr>
    </w:div>
    <w:div w:id="395081967">
      <w:bodyDiv w:val="1"/>
      <w:marLeft w:val="0"/>
      <w:marRight w:val="0"/>
      <w:marTop w:val="0"/>
      <w:marBottom w:val="0"/>
      <w:divBdr>
        <w:top w:val="none" w:sz="0" w:space="0" w:color="auto"/>
        <w:left w:val="none" w:sz="0" w:space="0" w:color="auto"/>
        <w:bottom w:val="none" w:sz="0" w:space="0" w:color="auto"/>
        <w:right w:val="none" w:sz="0" w:space="0" w:color="auto"/>
      </w:divBdr>
      <w:divsChild>
        <w:div w:id="1003630189">
          <w:marLeft w:val="0"/>
          <w:marRight w:val="0"/>
          <w:marTop w:val="0"/>
          <w:marBottom w:val="0"/>
          <w:divBdr>
            <w:top w:val="none" w:sz="0" w:space="0" w:color="auto"/>
            <w:left w:val="none" w:sz="0" w:space="0" w:color="auto"/>
            <w:bottom w:val="none" w:sz="0" w:space="0" w:color="auto"/>
            <w:right w:val="none" w:sz="0" w:space="0" w:color="auto"/>
          </w:divBdr>
          <w:divsChild>
            <w:div w:id="253050909">
              <w:marLeft w:val="0"/>
              <w:marRight w:val="0"/>
              <w:marTop w:val="0"/>
              <w:marBottom w:val="0"/>
              <w:divBdr>
                <w:top w:val="none" w:sz="0" w:space="0" w:color="auto"/>
                <w:left w:val="none" w:sz="0" w:space="0" w:color="auto"/>
                <w:bottom w:val="none" w:sz="0" w:space="0" w:color="auto"/>
                <w:right w:val="none" w:sz="0" w:space="0" w:color="auto"/>
              </w:divBdr>
              <w:divsChild>
                <w:div w:id="1646662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349589">
      <w:bodyDiv w:val="1"/>
      <w:marLeft w:val="0"/>
      <w:marRight w:val="0"/>
      <w:marTop w:val="0"/>
      <w:marBottom w:val="0"/>
      <w:divBdr>
        <w:top w:val="none" w:sz="0" w:space="0" w:color="auto"/>
        <w:left w:val="none" w:sz="0" w:space="0" w:color="auto"/>
        <w:bottom w:val="none" w:sz="0" w:space="0" w:color="auto"/>
        <w:right w:val="none" w:sz="0" w:space="0" w:color="auto"/>
      </w:divBdr>
      <w:divsChild>
        <w:div w:id="1561015245">
          <w:marLeft w:val="0"/>
          <w:marRight w:val="0"/>
          <w:marTop w:val="0"/>
          <w:marBottom w:val="0"/>
          <w:divBdr>
            <w:top w:val="none" w:sz="0" w:space="0" w:color="auto"/>
            <w:left w:val="none" w:sz="0" w:space="0" w:color="auto"/>
            <w:bottom w:val="none" w:sz="0" w:space="0" w:color="auto"/>
            <w:right w:val="none" w:sz="0" w:space="0" w:color="auto"/>
          </w:divBdr>
          <w:divsChild>
            <w:div w:id="863518930">
              <w:marLeft w:val="0"/>
              <w:marRight w:val="0"/>
              <w:marTop w:val="0"/>
              <w:marBottom w:val="0"/>
              <w:divBdr>
                <w:top w:val="none" w:sz="0" w:space="0" w:color="auto"/>
                <w:left w:val="none" w:sz="0" w:space="0" w:color="auto"/>
                <w:bottom w:val="none" w:sz="0" w:space="0" w:color="auto"/>
                <w:right w:val="none" w:sz="0" w:space="0" w:color="auto"/>
              </w:divBdr>
              <w:divsChild>
                <w:div w:id="255793108">
                  <w:marLeft w:val="-17"/>
                  <w:marRight w:val="-17"/>
                  <w:marTop w:val="0"/>
                  <w:marBottom w:val="0"/>
                  <w:divBdr>
                    <w:top w:val="none" w:sz="0" w:space="0" w:color="auto"/>
                    <w:left w:val="none" w:sz="0" w:space="0" w:color="auto"/>
                    <w:bottom w:val="none" w:sz="0" w:space="0" w:color="auto"/>
                    <w:right w:val="none" w:sz="0" w:space="0" w:color="auto"/>
                  </w:divBdr>
                </w:div>
                <w:div w:id="749082559">
                  <w:marLeft w:val="0"/>
                  <w:marRight w:val="0"/>
                  <w:marTop w:val="0"/>
                  <w:marBottom w:val="0"/>
                  <w:divBdr>
                    <w:top w:val="none" w:sz="0" w:space="0" w:color="auto"/>
                    <w:left w:val="none" w:sz="0" w:space="0" w:color="auto"/>
                    <w:bottom w:val="none" w:sz="0" w:space="0" w:color="auto"/>
                    <w:right w:val="none" w:sz="0" w:space="0" w:color="auto"/>
                  </w:divBdr>
                </w:div>
                <w:div w:id="124743636">
                  <w:marLeft w:val="0"/>
                  <w:marRight w:val="0"/>
                  <w:marTop w:val="0"/>
                  <w:marBottom w:val="0"/>
                  <w:divBdr>
                    <w:top w:val="none" w:sz="0" w:space="0" w:color="auto"/>
                    <w:left w:val="none" w:sz="0" w:space="0" w:color="auto"/>
                    <w:bottom w:val="none" w:sz="0" w:space="0" w:color="auto"/>
                    <w:right w:val="none" w:sz="0" w:space="0" w:color="auto"/>
                  </w:divBdr>
                  <w:divsChild>
                    <w:div w:id="72824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162665">
          <w:marLeft w:val="0"/>
          <w:marRight w:val="0"/>
          <w:marTop w:val="0"/>
          <w:marBottom w:val="0"/>
          <w:divBdr>
            <w:top w:val="none" w:sz="0" w:space="0" w:color="auto"/>
            <w:left w:val="none" w:sz="0" w:space="0" w:color="auto"/>
            <w:bottom w:val="none" w:sz="0" w:space="0" w:color="auto"/>
            <w:right w:val="none" w:sz="0" w:space="0" w:color="auto"/>
          </w:divBdr>
          <w:divsChild>
            <w:div w:id="1188593135">
              <w:marLeft w:val="0"/>
              <w:marRight w:val="0"/>
              <w:marTop w:val="0"/>
              <w:marBottom w:val="0"/>
              <w:divBdr>
                <w:top w:val="none" w:sz="0" w:space="0" w:color="auto"/>
                <w:left w:val="none" w:sz="0" w:space="0" w:color="auto"/>
                <w:bottom w:val="none" w:sz="0" w:space="0" w:color="auto"/>
                <w:right w:val="none" w:sz="0" w:space="0" w:color="auto"/>
              </w:divBdr>
            </w:div>
          </w:divsChild>
        </w:div>
        <w:div w:id="871529262">
          <w:marLeft w:val="0"/>
          <w:marRight w:val="0"/>
          <w:marTop w:val="0"/>
          <w:marBottom w:val="0"/>
          <w:divBdr>
            <w:top w:val="none" w:sz="0" w:space="0" w:color="auto"/>
            <w:left w:val="none" w:sz="0" w:space="0" w:color="auto"/>
            <w:bottom w:val="none" w:sz="0" w:space="0" w:color="auto"/>
            <w:right w:val="none" w:sz="0" w:space="0" w:color="auto"/>
          </w:divBdr>
          <w:divsChild>
            <w:div w:id="1383942414">
              <w:marLeft w:val="0"/>
              <w:marRight w:val="0"/>
              <w:marTop w:val="0"/>
              <w:marBottom w:val="0"/>
              <w:divBdr>
                <w:top w:val="none" w:sz="0" w:space="0" w:color="auto"/>
                <w:left w:val="none" w:sz="0" w:space="0" w:color="auto"/>
                <w:bottom w:val="none" w:sz="0" w:space="0" w:color="auto"/>
                <w:right w:val="none" w:sz="0" w:space="0" w:color="auto"/>
              </w:divBdr>
            </w:div>
          </w:divsChild>
        </w:div>
        <w:div w:id="259946228">
          <w:marLeft w:val="0"/>
          <w:marRight w:val="0"/>
          <w:marTop w:val="0"/>
          <w:marBottom w:val="0"/>
          <w:divBdr>
            <w:top w:val="none" w:sz="0" w:space="0" w:color="auto"/>
            <w:left w:val="none" w:sz="0" w:space="0" w:color="auto"/>
            <w:bottom w:val="none" w:sz="0" w:space="0" w:color="auto"/>
            <w:right w:val="none" w:sz="0" w:space="0" w:color="auto"/>
          </w:divBdr>
          <w:divsChild>
            <w:div w:id="102979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473909">
      <w:bodyDiv w:val="1"/>
      <w:marLeft w:val="0"/>
      <w:marRight w:val="0"/>
      <w:marTop w:val="0"/>
      <w:marBottom w:val="0"/>
      <w:divBdr>
        <w:top w:val="none" w:sz="0" w:space="0" w:color="auto"/>
        <w:left w:val="none" w:sz="0" w:space="0" w:color="auto"/>
        <w:bottom w:val="none" w:sz="0" w:space="0" w:color="auto"/>
        <w:right w:val="none" w:sz="0" w:space="0" w:color="auto"/>
      </w:divBdr>
      <w:divsChild>
        <w:div w:id="893351972">
          <w:marLeft w:val="0"/>
          <w:marRight w:val="0"/>
          <w:marTop w:val="0"/>
          <w:marBottom w:val="0"/>
          <w:divBdr>
            <w:top w:val="none" w:sz="0" w:space="0" w:color="auto"/>
            <w:left w:val="none" w:sz="0" w:space="0" w:color="auto"/>
            <w:bottom w:val="none" w:sz="0" w:space="0" w:color="auto"/>
            <w:right w:val="none" w:sz="0" w:space="0" w:color="auto"/>
          </w:divBdr>
          <w:divsChild>
            <w:div w:id="407119979">
              <w:marLeft w:val="0"/>
              <w:marRight w:val="0"/>
              <w:marTop w:val="0"/>
              <w:marBottom w:val="0"/>
              <w:divBdr>
                <w:top w:val="none" w:sz="0" w:space="0" w:color="auto"/>
                <w:left w:val="none" w:sz="0" w:space="0" w:color="auto"/>
                <w:bottom w:val="none" w:sz="0" w:space="0" w:color="auto"/>
                <w:right w:val="none" w:sz="0" w:space="0" w:color="auto"/>
              </w:divBdr>
              <w:divsChild>
                <w:div w:id="1464076128">
                  <w:marLeft w:val="-17"/>
                  <w:marRight w:val="-17"/>
                  <w:marTop w:val="0"/>
                  <w:marBottom w:val="0"/>
                  <w:divBdr>
                    <w:top w:val="none" w:sz="0" w:space="0" w:color="auto"/>
                    <w:left w:val="none" w:sz="0" w:space="0" w:color="auto"/>
                    <w:bottom w:val="none" w:sz="0" w:space="0" w:color="auto"/>
                    <w:right w:val="none" w:sz="0" w:space="0" w:color="auto"/>
                  </w:divBdr>
                </w:div>
                <w:div w:id="2137795521">
                  <w:marLeft w:val="0"/>
                  <w:marRight w:val="0"/>
                  <w:marTop w:val="0"/>
                  <w:marBottom w:val="0"/>
                  <w:divBdr>
                    <w:top w:val="none" w:sz="0" w:space="0" w:color="auto"/>
                    <w:left w:val="none" w:sz="0" w:space="0" w:color="auto"/>
                    <w:bottom w:val="none" w:sz="0" w:space="0" w:color="auto"/>
                    <w:right w:val="none" w:sz="0" w:space="0" w:color="auto"/>
                  </w:divBdr>
                </w:div>
                <w:div w:id="844055207">
                  <w:marLeft w:val="0"/>
                  <w:marRight w:val="0"/>
                  <w:marTop w:val="0"/>
                  <w:marBottom w:val="0"/>
                  <w:divBdr>
                    <w:top w:val="none" w:sz="0" w:space="0" w:color="auto"/>
                    <w:left w:val="none" w:sz="0" w:space="0" w:color="auto"/>
                    <w:bottom w:val="none" w:sz="0" w:space="0" w:color="auto"/>
                    <w:right w:val="none" w:sz="0" w:space="0" w:color="auto"/>
                  </w:divBdr>
                  <w:divsChild>
                    <w:div w:id="41439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83026">
          <w:marLeft w:val="0"/>
          <w:marRight w:val="0"/>
          <w:marTop w:val="0"/>
          <w:marBottom w:val="0"/>
          <w:divBdr>
            <w:top w:val="none" w:sz="0" w:space="0" w:color="auto"/>
            <w:left w:val="none" w:sz="0" w:space="0" w:color="auto"/>
            <w:bottom w:val="none" w:sz="0" w:space="0" w:color="auto"/>
            <w:right w:val="none" w:sz="0" w:space="0" w:color="auto"/>
          </w:divBdr>
          <w:divsChild>
            <w:div w:id="867908766">
              <w:marLeft w:val="0"/>
              <w:marRight w:val="0"/>
              <w:marTop w:val="0"/>
              <w:marBottom w:val="0"/>
              <w:divBdr>
                <w:top w:val="none" w:sz="0" w:space="0" w:color="auto"/>
                <w:left w:val="none" w:sz="0" w:space="0" w:color="auto"/>
                <w:bottom w:val="none" w:sz="0" w:space="0" w:color="auto"/>
                <w:right w:val="none" w:sz="0" w:space="0" w:color="auto"/>
              </w:divBdr>
              <w:divsChild>
                <w:div w:id="20914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751867">
          <w:marLeft w:val="0"/>
          <w:marRight w:val="0"/>
          <w:marTop w:val="0"/>
          <w:marBottom w:val="0"/>
          <w:divBdr>
            <w:top w:val="none" w:sz="0" w:space="0" w:color="auto"/>
            <w:left w:val="none" w:sz="0" w:space="0" w:color="auto"/>
            <w:bottom w:val="none" w:sz="0" w:space="0" w:color="auto"/>
            <w:right w:val="none" w:sz="0" w:space="0" w:color="auto"/>
          </w:divBdr>
          <w:divsChild>
            <w:div w:id="1142382449">
              <w:marLeft w:val="0"/>
              <w:marRight w:val="0"/>
              <w:marTop w:val="0"/>
              <w:marBottom w:val="0"/>
              <w:divBdr>
                <w:top w:val="single" w:sz="6" w:space="0" w:color="E1E2E6"/>
                <w:left w:val="single" w:sz="6" w:space="0" w:color="E1E2E6"/>
                <w:bottom w:val="single" w:sz="6" w:space="0" w:color="E1E2E6"/>
                <w:right w:val="single" w:sz="6" w:space="0" w:color="E1E2E6"/>
              </w:divBdr>
              <w:divsChild>
                <w:div w:id="1021857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988712">
      <w:bodyDiv w:val="1"/>
      <w:marLeft w:val="0"/>
      <w:marRight w:val="0"/>
      <w:marTop w:val="0"/>
      <w:marBottom w:val="0"/>
      <w:divBdr>
        <w:top w:val="none" w:sz="0" w:space="0" w:color="auto"/>
        <w:left w:val="none" w:sz="0" w:space="0" w:color="auto"/>
        <w:bottom w:val="none" w:sz="0" w:space="0" w:color="auto"/>
        <w:right w:val="none" w:sz="0" w:space="0" w:color="auto"/>
      </w:divBdr>
      <w:divsChild>
        <w:div w:id="1104039911">
          <w:marLeft w:val="0"/>
          <w:marRight w:val="0"/>
          <w:marTop w:val="0"/>
          <w:marBottom w:val="0"/>
          <w:divBdr>
            <w:top w:val="none" w:sz="0" w:space="0" w:color="auto"/>
            <w:left w:val="none" w:sz="0" w:space="0" w:color="auto"/>
            <w:bottom w:val="none" w:sz="0" w:space="0" w:color="auto"/>
            <w:right w:val="none" w:sz="0" w:space="0" w:color="auto"/>
          </w:divBdr>
          <w:divsChild>
            <w:div w:id="569117378">
              <w:marLeft w:val="0"/>
              <w:marRight w:val="0"/>
              <w:marTop w:val="0"/>
              <w:marBottom w:val="0"/>
              <w:divBdr>
                <w:top w:val="none" w:sz="0" w:space="0" w:color="auto"/>
                <w:left w:val="none" w:sz="0" w:space="0" w:color="auto"/>
                <w:bottom w:val="none" w:sz="0" w:space="0" w:color="auto"/>
                <w:right w:val="none" w:sz="0" w:space="0" w:color="auto"/>
              </w:divBdr>
              <w:divsChild>
                <w:div w:id="21316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806988">
          <w:marLeft w:val="0"/>
          <w:marRight w:val="0"/>
          <w:marTop w:val="0"/>
          <w:marBottom w:val="0"/>
          <w:divBdr>
            <w:top w:val="none" w:sz="0" w:space="0" w:color="auto"/>
            <w:left w:val="none" w:sz="0" w:space="0" w:color="auto"/>
            <w:bottom w:val="none" w:sz="0" w:space="0" w:color="auto"/>
            <w:right w:val="none" w:sz="0" w:space="0" w:color="auto"/>
          </w:divBdr>
          <w:divsChild>
            <w:div w:id="1882203214">
              <w:marLeft w:val="0"/>
              <w:marRight w:val="0"/>
              <w:marTop w:val="0"/>
              <w:marBottom w:val="0"/>
              <w:divBdr>
                <w:top w:val="none" w:sz="0" w:space="0" w:color="auto"/>
                <w:left w:val="none" w:sz="0" w:space="0" w:color="auto"/>
                <w:bottom w:val="none" w:sz="0" w:space="0" w:color="auto"/>
                <w:right w:val="none" w:sz="0" w:space="0" w:color="auto"/>
              </w:divBdr>
              <w:divsChild>
                <w:div w:id="1630669262">
                  <w:marLeft w:val="-17"/>
                  <w:marRight w:val="-17"/>
                  <w:marTop w:val="0"/>
                  <w:marBottom w:val="0"/>
                  <w:divBdr>
                    <w:top w:val="none" w:sz="0" w:space="0" w:color="auto"/>
                    <w:left w:val="none" w:sz="0" w:space="0" w:color="auto"/>
                    <w:bottom w:val="none" w:sz="0" w:space="0" w:color="auto"/>
                    <w:right w:val="none" w:sz="0" w:space="0" w:color="auto"/>
                  </w:divBdr>
                </w:div>
                <w:div w:id="789203382">
                  <w:marLeft w:val="0"/>
                  <w:marRight w:val="0"/>
                  <w:marTop w:val="0"/>
                  <w:marBottom w:val="0"/>
                  <w:divBdr>
                    <w:top w:val="none" w:sz="0" w:space="0" w:color="auto"/>
                    <w:left w:val="none" w:sz="0" w:space="0" w:color="auto"/>
                    <w:bottom w:val="none" w:sz="0" w:space="0" w:color="auto"/>
                    <w:right w:val="none" w:sz="0" w:space="0" w:color="auto"/>
                  </w:divBdr>
                </w:div>
                <w:div w:id="389307678">
                  <w:marLeft w:val="0"/>
                  <w:marRight w:val="0"/>
                  <w:marTop w:val="0"/>
                  <w:marBottom w:val="0"/>
                  <w:divBdr>
                    <w:top w:val="none" w:sz="0" w:space="0" w:color="auto"/>
                    <w:left w:val="none" w:sz="0" w:space="0" w:color="auto"/>
                    <w:bottom w:val="none" w:sz="0" w:space="0" w:color="auto"/>
                    <w:right w:val="none" w:sz="0" w:space="0" w:color="auto"/>
                  </w:divBdr>
                  <w:divsChild>
                    <w:div w:id="201321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540538">
          <w:marLeft w:val="0"/>
          <w:marRight w:val="0"/>
          <w:marTop w:val="0"/>
          <w:marBottom w:val="0"/>
          <w:divBdr>
            <w:top w:val="none" w:sz="0" w:space="0" w:color="auto"/>
            <w:left w:val="none" w:sz="0" w:space="0" w:color="auto"/>
            <w:bottom w:val="none" w:sz="0" w:space="0" w:color="auto"/>
            <w:right w:val="none" w:sz="0" w:space="0" w:color="auto"/>
          </w:divBdr>
          <w:divsChild>
            <w:div w:id="1510021785">
              <w:marLeft w:val="0"/>
              <w:marRight w:val="0"/>
              <w:marTop w:val="0"/>
              <w:marBottom w:val="0"/>
              <w:divBdr>
                <w:top w:val="none" w:sz="0" w:space="0" w:color="auto"/>
                <w:left w:val="none" w:sz="0" w:space="0" w:color="auto"/>
                <w:bottom w:val="none" w:sz="0" w:space="0" w:color="auto"/>
                <w:right w:val="none" w:sz="0" w:space="0" w:color="auto"/>
              </w:divBdr>
              <w:divsChild>
                <w:div w:id="1114788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101916">
      <w:bodyDiv w:val="1"/>
      <w:marLeft w:val="0"/>
      <w:marRight w:val="0"/>
      <w:marTop w:val="0"/>
      <w:marBottom w:val="0"/>
      <w:divBdr>
        <w:top w:val="none" w:sz="0" w:space="0" w:color="auto"/>
        <w:left w:val="none" w:sz="0" w:space="0" w:color="auto"/>
        <w:bottom w:val="none" w:sz="0" w:space="0" w:color="auto"/>
        <w:right w:val="none" w:sz="0" w:space="0" w:color="auto"/>
      </w:divBdr>
      <w:divsChild>
        <w:div w:id="713581580">
          <w:marLeft w:val="0"/>
          <w:marRight w:val="0"/>
          <w:marTop w:val="0"/>
          <w:marBottom w:val="0"/>
          <w:divBdr>
            <w:top w:val="none" w:sz="0" w:space="0" w:color="auto"/>
            <w:left w:val="none" w:sz="0" w:space="0" w:color="auto"/>
            <w:bottom w:val="none" w:sz="0" w:space="0" w:color="auto"/>
            <w:right w:val="none" w:sz="0" w:space="0" w:color="auto"/>
          </w:divBdr>
          <w:divsChild>
            <w:div w:id="583731208">
              <w:marLeft w:val="0"/>
              <w:marRight w:val="0"/>
              <w:marTop w:val="0"/>
              <w:marBottom w:val="0"/>
              <w:divBdr>
                <w:top w:val="none" w:sz="0" w:space="0" w:color="auto"/>
                <w:left w:val="none" w:sz="0" w:space="0" w:color="auto"/>
                <w:bottom w:val="none" w:sz="0" w:space="0" w:color="auto"/>
                <w:right w:val="none" w:sz="0" w:space="0" w:color="auto"/>
              </w:divBdr>
              <w:divsChild>
                <w:div w:id="49403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2551128">
          <w:marLeft w:val="0"/>
          <w:marRight w:val="0"/>
          <w:marTop w:val="0"/>
          <w:marBottom w:val="0"/>
          <w:divBdr>
            <w:top w:val="none" w:sz="0" w:space="0" w:color="auto"/>
            <w:left w:val="none" w:sz="0" w:space="0" w:color="auto"/>
            <w:bottom w:val="none" w:sz="0" w:space="0" w:color="auto"/>
            <w:right w:val="none" w:sz="0" w:space="0" w:color="auto"/>
          </w:divBdr>
          <w:divsChild>
            <w:div w:id="1172373830">
              <w:marLeft w:val="0"/>
              <w:marRight w:val="0"/>
              <w:marTop w:val="0"/>
              <w:marBottom w:val="0"/>
              <w:divBdr>
                <w:top w:val="none" w:sz="0" w:space="0" w:color="auto"/>
                <w:left w:val="none" w:sz="0" w:space="0" w:color="auto"/>
                <w:bottom w:val="none" w:sz="0" w:space="0" w:color="auto"/>
                <w:right w:val="none" w:sz="0" w:space="0" w:color="auto"/>
              </w:divBdr>
              <w:divsChild>
                <w:div w:id="889194522">
                  <w:marLeft w:val="-17"/>
                  <w:marRight w:val="-17"/>
                  <w:marTop w:val="0"/>
                  <w:marBottom w:val="0"/>
                  <w:divBdr>
                    <w:top w:val="none" w:sz="0" w:space="0" w:color="auto"/>
                    <w:left w:val="none" w:sz="0" w:space="0" w:color="auto"/>
                    <w:bottom w:val="none" w:sz="0" w:space="0" w:color="auto"/>
                    <w:right w:val="none" w:sz="0" w:space="0" w:color="auto"/>
                  </w:divBdr>
                </w:div>
                <w:div w:id="1183132379">
                  <w:marLeft w:val="0"/>
                  <w:marRight w:val="0"/>
                  <w:marTop w:val="0"/>
                  <w:marBottom w:val="0"/>
                  <w:divBdr>
                    <w:top w:val="none" w:sz="0" w:space="0" w:color="auto"/>
                    <w:left w:val="none" w:sz="0" w:space="0" w:color="auto"/>
                    <w:bottom w:val="none" w:sz="0" w:space="0" w:color="auto"/>
                    <w:right w:val="none" w:sz="0" w:space="0" w:color="auto"/>
                  </w:divBdr>
                </w:div>
                <w:div w:id="2101364699">
                  <w:marLeft w:val="0"/>
                  <w:marRight w:val="0"/>
                  <w:marTop w:val="0"/>
                  <w:marBottom w:val="0"/>
                  <w:divBdr>
                    <w:top w:val="none" w:sz="0" w:space="0" w:color="auto"/>
                    <w:left w:val="none" w:sz="0" w:space="0" w:color="auto"/>
                    <w:bottom w:val="none" w:sz="0" w:space="0" w:color="auto"/>
                    <w:right w:val="none" w:sz="0" w:space="0" w:color="auto"/>
                  </w:divBdr>
                  <w:divsChild>
                    <w:div w:id="70386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615096">
          <w:marLeft w:val="0"/>
          <w:marRight w:val="0"/>
          <w:marTop w:val="0"/>
          <w:marBottom w:val="0"/>
          <w:divBdr>
            <w:top w:val="none" w:sz="0" w:space="0" w:color="auto"/>
            <w:left w:val="none" w:sz="0" w:space="0" w:color="auto"/>
            <w:bottom w:val="none" w:sz="0" w:space="0" w:color="auto"/>
            <w:right w:val="none" w:sz="0" w:space="0" w:color="auto"/>
          </w:divBdr>
          <w:divsChild>
            <w:div w:id="1884095153">
              <w:marLeft w:val="0"/>
              <w:marRight w:val="0"/>
              <w:marTop w:val="0"/>
              <w:marBottom w:val="0"/>
              <w:divBdr>
                <w:top w:val="none" w:sz="0" w:space="0" w:color="auto"/>
                <w:left w:val="none" w:sz="0" w:space="0" w:color="auto"/>
                <w:bottom w:val="none" w:sz="0" w:space="0" w:color="auto"/>
                <w:right w:val="none" w:sz="0" w:space="0" w:color="auto"/>
              </w:divBdr>
            </w:div>
          </w:divsChild>
        </w:div>
        <w:div w:id="1834907466">
          <w:marLeft w:val="0"/>
          <w:marRight w:val="0"/>
          <w:marTop w:val="0"/>
          <w:marBottom w:val="0"/>
          <w:divBdr>
            <w:top w:val="none" w:sz="0" w:space="0" w:color="auto"/>
            <w:left w:val="none" w:sz="0" w:space="0" w:color="auto"/>
            <w:bottom w:val="none" w:sz="0" w:space="0" w:color="auto"/>
            <w:right w:val="none" w:sz="0" w:space="0" w:color="auto"/>
          </w:divBdr>
          <w:divsChild>
            <w:div w:id="179767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540404">
      <w:bodyDiv w:val="1"/>
      <w:marLeft w:val="0"/>
      <w:marRight w:val="0"/>
      <w:marTop w:val="0"/>
      <w:marBottom w:val="0"/>
      <w:divBdr>
        <w:top w:val="none" w:sz="0" w:space="0" w:color="auto"/>
        <w:left w:val="none" w:sz="0" w:space="0" w:color="auto"/>
        <w:bottom w:val="none" w:sz="0" w:space="0" w:color="auto"/>
        <w:right w:val="none" w:sz="0" w:space="0" w:color="auto"/>
      </w:divBdr>
      <w:divsChild>
        <w:div w:id="170875925">
          <w:marLeft w:val="0"/>
          <w:marRight w:val="0"/>
          <w:marTop w:val="0"/>
          <w:marBottom w:val="0"/>
          <w:divBdr>
            <w:top w:val="none" w:sz="0" w:space="0" w:color="auto"/>
            <w:left w:val="none" w:sz="0" w:space="0" w:color="auto"/>
            <w:bottom w:val="none" w:sz="0" w:space="0" w:color="auto"/>
            <w:right w:val="none" w:sz="0" w:space="0" w:color="auto"/>
          </w:divBdr>
          <w:divsChild>
            <w:div w:id="263657098">
              <w:marLeft w:val="0"/>
              <w:marRight w:val="0"/>
              <w:marTop w:val="0"/>
              <w:marBottom w:val="0"/>
              <w:divBdr>
                <w:top w:val="none" w:sz="0" w:space="0" w:color="auto"/>
                <w:left w:val="none" w:sz="0" w:space="0" w:color="auto"/>
                <w:bottom w:val="none" w:sz="0" w:space="0" w:color="auto"/>
                <w:right w:val="none" w:sz="0" w:space="0" w:color="auto"/>
              </w:divBdr>
            </w:div>
            <w:div w:id="937644231">
              <w:marLeft w:val="0"/>
              <w:marRight w:val="0"/>
              <w:marTop w:val="0"/>
              <w:marBottom w:val="0"/>
              <w:divBdr>
                <w:top w:val="none" w:sz="0" w:space="0" w:color="auto"/>
                <w:left w:val="none" w:sz="0" w:space="0" w:color="auto"/>
                <w:bottom w:val="none" w:sz="0" w:space="0" w:color="auto"/>
                <w:right w:val="none" w:sz="0" w:space="0" w:color="auto"/>
              </w:divBdr>
            </w:div>
            <w:div w:id="144783564">
              <w:marLeft w:val="0"/>
              <w:marRight w:val="0"/>
              <w:marTop w:val="0"/>
              <w:marBottom w:val="0"/>
              <w:divBdr>
                <w:top w:val="none" w:sz="0" w:space="0" w:color="auto"/>
                <w:left w:val="none" w:sz="0" w:space="0" w:color="auto"/>
                <w:bottom w:val="none" w:sz="0" w:space="0" w:color="auto"/>
                <w:right w:val="none" w:sz="0" w:space="0" w:color="auto"/>
              </w:divBdr>
            </w:div>
          </w:divsChild>
        </w:div>
        <w:div w:id="1153132998">
          <w:marLeft w:val="0"/>
          <w:marRight w:val="0"/>
          <w:marTop w:val="0"/>
          <w:marBottom w:val="0"/>
          <w:divBdr>
            <w:top w:val="none" w:sz="0" w:space="0" w:color="auto"/>
            <w:left w:val="none" w:sz="0" w:space="0" w:color="auto"/>
            <w:bottom w:val="none" w:sz="0" w:space="0" w:color="auto"/>
            <w:right w:val="none" w:sz="0" w:space="0" w:color="auto"/>
          </w:divBdr>
          <w:divsChild>
            <w:div w:id="1751000392">
              <w:marLeft w:val="0"/>
              <w:marRight w:val="0"/>
              <w:marTop w:val="0"/>
              <w:marBottom w:val="0"/>
              <w:divBdr>
                <w:top w:val="none" w:sz="0" w:space="0" w:color="auto"/>
                <w:left w:val="none" w:sz="0" w:space="0" w:color="auto"/>
                <w:bottom w:val="none" w:sz="0" w:space="0" w:color="auto"/>
                <w:right w:val="none" w:sz="0" w:space="0" w:color="auto"/>
              </w:divBdr>
              <w:divsChild>
                <w:div w:id="513228492">
                  <w:marLeft w:val="0"/>
                  <w:marRight w:val="0"/>
                  <w:marTop w:val="0"/>
                  <w:marBottom w:val="0"/>
                  <w:divBdr>
                    <w:top w:val="none" w:sz="0" w:space="0" w:color="auto"/>
                    <w:left w:val="none" w:sz="0" w:space="0" w:color="auto"/>
                    <w:bottom w:val="none" w:sz="0" w:space="0" w:color="auto"/>
                    <w:right w:val="none" w:sz="0" w:space="0" w:color="auto"/>
                  </w:divBdr>
                  <w:divsChild>
                    <w:div w:id="526334350">
                      <w:marLeft w:val="0"/>
                      <w:marRight w:val="0"/>
                      <w:marTop w:val="0"/>
                      <w:marBottom w:val="0"/>
                      <w:divBdr>
                        <w:top w:val="none" w:sz="0" w:space="0" w:color="auto"/>
                        <w:left w:val="none" w:sz="0" w:space="0" w:color="auto"/>
                        <w:bottom w:val="none" w:sz="0" w:space="0" w:color="auto"/>
                        <w:right w:val="none" w:sz="0" w:space="0" w:color="auto"/>
                      </w:divBdr>
                      <w:divsChild>
                        <w:div w:id="95849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14454">
                  <w:marLeft w:val="0"/>
                  <w:marRight w:val="0"/>
                  <w:marTop w:val="0"/>
                  <w:marBottom w:val="0"/>
                  <w:divBdr>
                    <w:top w:val="none" w:sz="0" w:space="0" w:color="auto"/>
                    <w:left w:val="none" w:sz="0" w:space="0" w:color="auto"/>
                    <w:bottom w:val="none" w:sz="0" w:space="0" w:color="auto"/>
                    <w:right w:val="none" w:sz="0" w:space="0" w:color="auto"/>
                  </w:divBdr>
                  <w:divsChild>
                    <w:div w:id="130368413">
                      <w:marLeft w:val="0"/>
                      <w:marRight w:val="0"/>
                      <w:marTop w:val="0"/>
                      <w:marBottom w:val="0"/>
                      <w:divBdr>
                        <w:top w:val="none" w:sz="0" w:space="0" w:color="auto"/>
                        <w:left w:val="none" w:sz="0" w:space="0" w:color="auto"/>
                        <w:bottom w:val="none" w:sz="0" w:space="0" w:color="auto"/>
                        <w:right w:val="none" w:sz="0" w:space="0" w:color="auto"/>
                      </w:divBdr>
                      <w:divsChild>
                        <w:div w:id="965355759">
                          <w:marLeft w:val="-17"/>
                          <w:marRight w:val="-17"/>
                          <w:marTop w:val="0"/>
                          <w:marBottom w:val="0"/>
                          <w:divBdr>
                            <w:top w:val="none" w:sz="0" w:space="0" w:color="auto"/>
                            <w:left w:val="none" w:sz="0" w:space="0" w:color="auto"/>
                            <w:bottom w:val="none" w:sz="0" w:space="0" w:color="auto"/>
                            <w:right w:val="none" w:sz="0" w:space="0" w:color="auto"/>
                          </w:divBdr>
                        </w:div>
                        <w:div w:id="1953125188">
                          <w:marLeft w:val="0"/>
                          <w:marRight w:val="0"/>
                          <w:marTop w:val="0"/>
                          <w:marBottom w:val="0"/>
                          <w:divBdr>
                            <w:top w:val="none" w:sz="0" w:space="0" w:color="auto"/>
                            <w:left w:val="none" w:sz="0" w:space="0" w:color="auto"/>
                            <w:bottom w:val="none" w:sz="0" w:space="0" w:color="auto"/>
                            <w:right w:val="none" w:sz="0" w:space="0" w:color="auto"/>
                          </w:divBdr>
                        </w:div>
                        <w:div w:id="233517767">
                          <w:marLeft w:val="0"/>
                          <w:marRight w:val="0"/>
                          <w:marTop w:val="0"/>
                          <w:marBottom w:val="0"/>
                          <w:divBdr>
                            <w:top w:val="none" w:sz="0" w:space="0" w:color="auto"/>
                            <w:left w:val="none" w:sz="0" w:space="0" w:color="auto"/>
                            <w:bottom w:val="none" w:sz="0" w:space="0" w:color="auto"/>
                            <w:right w:val="none" w:sz="0" w:space="0" w:color="auto"/>
                          </w:divBdr>
                          <w:divsChild>
                            <w:div w:id="1805583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8284835">
      <w:bodyDiv w:val="1"/>
      <w:marLeft w:val="0"/>
      <w:marRight w:val="0"/>
      <w:marTop w:val="0"/>
      <w:marBottom w:val="0"/>
      <w:divBdr>
        <w:top w:val="none" w:sz="0" w:space="0" w:color="auto"/>
        <w:left w:val="none" w:sz="0" w:space="0" w:color="auto"/>
        <w:bottom w:val="none" w:sz="0" w:space="0" w:color="auto"/>
        <w:right w:val="none" w:sz="0" w:space="0" w:color="auto"/>
      </w:divBdr>
      <w:divsChild>
        <w:div w:id="263267843">
          <w:marLeft w:val="0"/>
          <w:marRight w:val="0"/>
          <w:marTop w:val="0"/>
          <w:marBottom w:val="0"/>
          <w:divBdr>
            <w:top w:val="none" w:sz="0" w:space="0" w:color="auto"/>
            <w:left w:val="none" w:sz="0" w:space="0" w:color="auto"/>
            <w:bottom w:val="none" w:sz="0" w:space="0" w:color="auto"/>
            <w:right w:val="none" w:sz="0" w:space="0" w:color="auto"/>
          </w:divBdr>
          <w:divsChild>
            <w:div w:id="1841045357">
              <w:marLeft w:val="0"/>
              <w:marRight w:val="0"/>
              <w:marTop w:val="0"/>
              <w:marBottom w:val="0"/>
              <w:divBdr>
                <w:top w:val="none" w:sz="0" w:space="0" w:color="auto"/>
                <w:left w:val="none" w:sz="0" w:space="0" w:color="auto"/>
                <w:bottom w:val="none" w:sz="0" w:space="0" w:color="auto"/>
                <w:right w:val="none" w:sz="0" w:space="0" w:color="auto"/>
              </w:divBdr>
            </w:div>
            <w:div w:id="822432360">
              <w:marLeft w:val="0"/>
              <w:marRight w:val="0"/>
              <w:marTop w:val="0"/>
              <w:marBottom w:val="0"/>
              <w:divBdr>
                <w:top w:val="none" w:sz="0" w:space="0" w:color="auto"/>
                <w:left w:val="none" w:sz="0" w:space="0" w:color="auto"/>
                <w:bottom w:val="none" w:sz="0" w:space="0" w:color="auto"/>
                <w:right w:val="none" w:sz="0" w:space="0" w:color="auto"/>
              </w:divBdr>
            </w:div>
          </w:divsChild>
        </w:div>
        <w:div w:id="154996043">
          <w:marLeft w:val="0"/>
          <w:marRight w:val="0"/>
          <w:marTop w:val="0"/>
          <w:marBottom w:val="0"/>
          <w:divBdr>
            <w:top w:val="none" w:sz="0" w:space="0" w:color="auto"/>
            <w:left w:val="none" w:sz="0" w:space="0" w:color="auto"/>
            <w:bottom w:val="none" w:sz="0" w:space="0" w:color="auto"/>
            <w:right w:val="none" w:sz="0" w:space="0" w:color="auto"/>
          </w:divBdr>
          <w:divsChild>
            <w:div w:id="3554091">
              <w:marLeft w:val="0"/>
              <w:marRight w:val="0"/>
              <w:marTop w:val="0"/>
              <w:marBottom w:val="0"/>
              <w:divBdr>
                <w:top w:val="none" w:sz="0" w:space="0" w:color="auto"/>
                <w:left w:val="none" w:sz="0" w:space="0" w:color="auto"/>
                <w:bottom w:val="none" w:sz="0" w:space="0" w:color="auto"/>
                <w:right w:val="none" w:sz="0" w:space="0" w:color="auto"/>
              </w:divBdr>
              <w:divsChild>
                <w:div w:id="1547984485">
                  <w:marLeft w:val="0"/>
                  <w:marRight w:val="0"/>
                  <w:marTop w:val="0"/>
                  <w:marBottom w:val="0"/>
                  <w:divBdr>
                    <w:top w:val="none" w:sz="0" w:space="0" w:color="auto"/>
                    <w:left w:val="none" w:sz="0" w:space="0" w:color="auto"/>
                    <w:bottom w:val="none" w:sz="0" w:space="0" w:color="auto"/>
                    <w:right w:val="none" w:sz="0" w:space="0" w:color="auto"/>
                  </w:divBdr>
                </w:div>
                <w:div w:id="1925919872">
                  <w:marLeft w:val="0"/>
                  <w:marRight w:val="0"/>
                  <w:marTop w:val="0"/>
                  <w:marBottom w:val="0"/>
                  <w:divBdr>
                    <w:top w:val="none" w:sz="0" w:space="0" w:color="auto"/>
                    <w:left w:val="none" w:sz="0" w:space="0" w:color="auto"/>
                    <w:bottom w:val="none" w:sz="0" w:space="0" w:color="auto"/>
                    <w:right w:val="none" w:sz="0" w:space="0" w:color="auto"/>
                  </w:divBdr>
                </w:div>
                <w:div w:id="774864721">
                  <w:marLeft w:val="0"/>
                  <w:marRight w:val="0"/>
                  <w:marTop w:val="0"/>
                  <w:marBottom w:val="0"/>
                  <w:divBdr>
                    <w:top w:val="none" w:sz="0" w:space="0" w:color="auto"/>
                    <w:left w:val="none" w:sz="0" w:space="0" w:color="auto"/>
                    <w:bottom w:val="none" w:sz="0" w:space="0" w:color="auto"/>
                    <w:right w:val="none" w:sz="0" w:space="0" w:color="auto"/>
                  </w:divBdr>
                  <w:divsChild>
                    <w:div w:id="562910919">
                      <w:marLeft w:val="0"/>
                      <w:marRight w:val="0"/>
                      <w:marTop w:val="0"/>
                      <w:marBottom w:val="0"/>
                      <w:divBdr>
                        <w:top w:val="none" w:sz="0" w:space="0" w:color="auto"/>
                        <w:left w:val="none" w:sz="0" w:space="0" w:color="auto"/>
                        <w:bottom w:val="none" w:sz="0" w:space="0" w:color="auto"/>
                        <w:right w:val="none" w:sz="0" w:space="0" w:color="auto"/>
                      </w:divBdr>
                      <w:divsChild>
                        <w:div w:id="639924512">
                          <w:marLeft w:val="-17"/>
                          <w:marRight w:val="-17"/>
                          <w:marTop w:val="0"/>
                          <w:marBottom w:val="0"/>
                          <w:divBdr>
                            <w:top w:val="none" w:sz="0" w:space="0" w:color="auto"/>
                            <w:left w:val="none" w:sz="0" w:space="0" w:color="auto"/>
                            <w:bottom w:val="none" w:sz="0" w:space="0" w:color="auto"/>
                            <w:right w:val="none" w:sz="0" w:space="0" w:color="auto"/>
                          </w:divBdr>
                        </w:div>
                        <w:div w:id="2111703225">
                          <w:marLeft w:val="0"/>
                          <w:marRight w:val="0"/>
                          <w:marTop w:val="0"/>
                          <w:marBottom w:val="0"/>
                          <w:divBdr>
                            <w:top w:val="none" w:sz="0" w:space="0" w:color="auto"/>
                            <w:left w:val="none" w:sz="0" w:space="0" w:color="auto"/>
                            <w:bottom w:val="none" w:sz="0" w:space="0" w:color="auto"/>
                            <w:right w:val="none" w:sz="0" w:space="0" w:color="auto"/>
                          </w:divBdr>
                        </w:div>
                        <w:div w:id="792867627">
                          <w:marLeft w:val="0"/>
                          <w:marRight w:val="0"/>
                          <w:marTop w:val="0"/>
                          <w:marBottom w:val="0"/>
                          <w:divBdr>
                            <w:top w:val="none" w:sz="0" w:space="0" w:color="auto"/>
                            <w:left w:val="none" w:sz="0" w:space="0" w:color="auto"/>
                            <w:bottom w:val="none" w:sz="0" w:space="0" w:color="auto"/>
                            <w:right w:val="none" w:sz="0" w:space="0" w:color="auto"/>
                          </w:divBdr>
                          <w:divsChild>
                            <w:div w:id="91162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958944">
                  <w:marLeft w:val="0"/>
                  <w:marRight w:val="0"/>
                  <w:marTop w:val="0"/>
                  <w:marBottom w:val="0"/>
                  <w:divBdr>
                    <w:top w:val="none" w:sz="0" w:space="0" w:color="auto"/>
                    <w:left w:val="none" w:sz="0" w:space="0" w:color="auto"/>
                    <w:bottom w:val="none" w:sz="0" w:space="0" w:color="auto"/>
                    <w:right w:val="none" w:sz="0" w:space="0" w:color="auto"/>
                  </w:divBdr>
                </w:div>
                <w:div w:id="851650994">
                  <w:marLeft w:val="0"/>
                  <w:marRight w:val="0"/>
                  <w:marTop w:val="0"/>
                  <w:marBottom w:val="0"/>
                  <w:divBdr>
                    <w:top w:val="none" w:sz="0" w:space="0" w:color="auto"/>
                    <w:left w:val="none" w:sz="0" w:space="0" w:color="auto"/>
                    <w:bottom w:val="none" w:sz="0" w:space="0" w:color="auto"/>
                    <w:right w:val="none" w:sz="0" w:space="0" w:color="auto"/>
                  </w:divBdr>
                </w:div>
                <w:div w:id="757753564">
                  <w:marLeft w:val="0"/>
                  <w:marRight w:val="0"/>
                  <w:marTop w:val="0"/>
                  <w:marBottom w:val="0"/>
                  <w:divBdr>
                    <w:top w:val="none" w:sz="0" w:space="0" w:color="auto"/>
                    <w:left w:val="none" w:sz="0" w:space="0" w:color="auto"/>
                    <w:bottom w:val="none" w:sz="0" w:space="0" w:color="auto"/>
                    <w:right w:val="none" w:sz="0" w:space="0" w:color="auto"/>
                  </w:divBdr>
                </w:div>
                <w:div w:id="1015811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investopedia.com/terms/e/elliottwavetheory.asp" TargetMode="External"/><Relationship Id="rId117" Type="http://schemas.openxmlformats.org/officeDocument/2006/relationships/hyperlink" Target="https://www.investopedia.com/terms/a/asset.asp" TargetMode="External"/><Relationship Id="rId21" Type="http://schemas.openxmlformats.org/officeDocument/2006/relationships/image" Target="media/image4.gif"/><Relationship Id="rId42" Type="http://schemas.openxmlformats.org/officeDocument/2006/relationships/hyperlink" Target="https://www.investopedia.com/terms/o/oscillator.asp" TargetMode="External"/><Relationship Id="rId47" Type="http://schemas.openxmlformats.org/officeDocument/2006/relationships/hyperlink" Target="https://www.investopedia.com/terms/e/etf.asp" TargetMode="External"/><Relationship Id="rId63" Type="http://schemas.openxmlformats.org/officeDocument/2006/relationships/hyperlink" Target="https://www.investopedia.com/terms/m/modernportfoliotheory.asp" TargetMode="External"/><Relationship Id="rId68" Type="http://schemas.openxmlformats.org/officeDocument/2006/relationships/hyperlink" Target="https://www.investopedia.com/terms/c/capm.asp" TargetMode="External"/><Relationship Id="rId84" Type="http://schemas.openxmlformats.org/officeDocument/2006/relationships/hyperlink" Target="https://www.investopedia.com/terms/e/efficientfrontier.asp" TargetMode="External"/><Relationship Id="rId89" Type="http://schemas.openxmlformats.org/officeDocument/2006/relationships/hyperlink" Target="https://www.investopedia.com/terms/j/james-tobin.asp" TargetMode="External"/><Relationship Id="rId112" Type="http://schemas.openxmlformats.org/officeDocument/2006/relationships/hyperlink" Target="https://www.investopedia.com/terms/a/alpha.asp" TargetMode="External"/><Relationship Id="rId133" Type="http://schemas.openxmlformats.org/officeDocument/2006/relationships/hyperlink" Target="https://www.investopedia.com/terms/e/etf.asp" TargetMode="External"/><Relationship Id="rId138" Type="http://schemas.openxmlformats.org/officeDocument/2006/relationships/hyperlink" Target="https://www.investopedia.com/terms/r/risk-freerate.asp" TargetMode="External"/><Relationship Id="rId16" Type="http://schemas.openxmlformats.org/officeDocument/2006/relationships/hyperlink" Target="https://www.investopedia.com/articles/trading/06/supportresistancereversal.asp" TargetMode="External"/><Relationship Id="rId107" Type="http://schemas.openxmlformats.org/officeDocument/2006/relationships/hyperlink" Target="https://www.investopedia.com/terms/s/sp500.asp" TargetMode="External"/><Relationship Id="rId11" Type="http://schemas.openxmlformats.org/officeDocument/2006/relationships/hyperlink" Target="https://www.investopedia.com/articles/trading/06/retracements.asp" TargetMode="External"/><Relationship Id="rId32" Type="http://schemas.openxmlformats.org/officeDocument/2006/relationships/hyperlink" Target="https://www.investopedia.com/terms/f/financial-analysis.asp" TargetMode="External"/><Relationship Id="rId37" Type="http://schemas.openxmlformats.org/officeDocument/2006/relationships/hyperlink" Target="https://www.investopedia.com/terms/c/corrective-waves.asp" TargetMode="External"/><Relationship Id="rId53" Type="http://schemas.openxmlformats.org/officeDocument/2006/relationships/hyperlink" Target="https://www.investopedia.com/terms/r/risk-freerate.asp" TargetMode="External"/><Relationship Id="rId58" Type="http://schemas.openxmlformats.org/officeDocument/2006/relationships/hyperlink" Target="https://www.investopedia.com/terms/d/discountrate.asp" TargetMode="External"/><Relationship Id="rId74" Type="http://schemas.openxmlformats.org/officeDocument/2006/relationships/hyperlink" Target="https://www.investopedia.com/terms/t/timevalueofmoney.asp" TargetMode="External"/><Relationship Id="rId79" Type="http://schemas.openxmlformats.org/officeDocument/2006/relationships/hyperlink" Target="https://www.investopedia.com/terms/i/inherent-risk.asp" TargetMode="External"/><Relationship Id="rId102" Type="http://schemas.openxmlformats.org/officeDocument/2006/relationships/hyperlink" Target="https://www.investopedia.com/terms/p/portfoliomanager.asp" TargetMode="External"/><Relationship Id="rId123" Type="http://schemas.openxmlformats.org/officeDocument/2006/relationships/hyperlink" Target="https://www.investopedia.com/terms/r/returnoninvestment.asp" TargetMode="External"/><Relationship Id="rId128" Type="http://schemas.openxmlformats.org/officeDocument/2006/relationships/hyperlink" Target="https://www.investopedia.com/terms/e/exante.asp" TargetMode="External"/><Relationship Id="rId144" Type="http://schemas.openxmlformats.org/officeDocument/2006/relationships/fontTable" Target="fontTable.xml"/><Relationship Id="rId5" Type="http://schemas.openxmlformats.org/officeDocument/2006/relationships/hyperlink" Target="https://www.investopedia.com/terms/d/djia.asp" TargetMode="External"/><Relationship Id="rId90" Type="http://schemas.openxmlformats.org/officeDocument/2006/relationships/hyperlink" Target="https://www.investopedia.com/terms/m/modernportfoliotheory.asp" TargetMode="External"/><Relationship Id="rId95" Type="http://schemas.openxmlformats.org/officeDocument/2006/relationships/hyperlink" Target="https://www.investopedia.com/terms/s/sml.asp" TargetMode="External"/><Relationship Id="rId22" Type="http://schemas.openxmlformats.org/officeDocument/2006/relationships/image" Target="media/image5.gif"/><Relationship Id="rId27" Type="http://schemas.openxmlformats.org/officeDocument/2006/relationships/hyperlink" Target="https://www.investopedia.com/terms/e/elliottwavetheory.asp" TargetMode="External"/><Relationship Id="rId43" Type="http://schemas.openxmlformats.org/officeDocument/2006/relationships/hyperlink" Target="https://www.investopedia.com/terms/e/efficientmarkethypothesis.asp" TargetMode="External"/><Relationship Id="rId48" Type="http://schemas.openxmlformats.org/officeDocument/2006/relationships/hyperlink" Target="https://www.investopedia.com/terms/c/capm.asp" TargetMode="External"/><Relationship Id="rId64" Type="http://schemas.openxmlformats.org/officeDocument/2006/relationships/hyperlink" Target="https://www.investopedia.com/terms/c/cml.asp" TargetMode="External"/><Relationship Id="rId69" Type="http://schemas.openxmlformats.org/officeDocument/2006/relationships/hyperlink" Target="https://www.investopedia.com/terms/m/marketablesecurities.asp" TargetMode="External"/><Relationship Id="rId113" Type="http://schemas.openxmlformats.org/officeDocument/2006/relationships/hyperlink" Target="https://www.investopedia.com/terms/m/marketrisk.asp" TargetMode="External"/><Relationship Id="rId118" Type="http://schemas.openxmlformats.org/officeDocument/2006/relationships/hyperlink" Target="https://www.investopedia.com/terms/m/mutualfund.asp" TargetMode="External"/><Relationship Id="rId134" Type="http://schemas.openxmlformats.org/officeDocument/2006/relationships/hyperlink" Target="https://www.investopedia.com/terms/s/sharperatio.asp" TargetMode="External"/><Relationship Id="rId139" Type="http://schemas.openxmlformats.org/officeDocument/2006/relationships/hyperlink" Target="https://www.investopedia.com/terms/t/treynor-index.asp" TargetMode="External"/><Relationship Id="rId80" Type="http://schemas.openxmlformats.org/officeDocument/2006/relationships/hyperlink" Target="https://www.investopedia.com/terms/c/cml.asp" TargetMode="External"/><Relationship Id="rId85" Type="http://schemas.openxmlformats.org/officeDocument/2006/relationships/hyperlink" Target="https://www.investopedia.com/terms/m/meanvariance-analysis.asp" TargetMode="External"/><Relationship Id="rId3" Type="http://schemas.openxmlformats.org/officeDocument/2006/relationships/settings" Target="settings.xml"/><Relationship Id="rId12" Type="http://schemas.openxmlformats.org/officeDocument/2006/relationships/hyperlink" Target="https://www.investopedia.com/terms/p/peak.asp" TargetMode="External"/><Relationship Id="rId17" Type="http://schemas.openxmlformats.org/officeDocument/2006/relationships/hyperlink" Target="https://www.investopedia.com/terms/d/dowtheory.asp" TargetMode="External"/><Relationship Id="rId25" Type="http://schemas.openxmlformats.org/officeDocument/2006/relationships/hyperlink" Target="https://thedowtheory.com/resources/traditional-dow-theory/basics/" TargetMode="External"/><Relationship Id="rId33" Type="http://schemas.openxmlformats.org/officeDocument/2006/relationships/hyperlink" Target="https://www.investopedia.com/terms/f/forecasting.asp" TargetMode="External"/><Relationship Id="rId38" Type="http://schemas.openxmlformats.org/officeDocument/2006/relationships/hyperlink" Target="https://www.investopedia.com/terms/b/bear.asp" TargetMode="External"/><Relationship Id="rId46" Type="http://schemas.openxmlformats.org/officeDocument/2006/relationships/hyperlink" Target="https://www.investopedia.com/terms/t/technicalanalysis.asp" TargetMode="External"/><Relationship Id="rId59" Type="http://schemas.openxmlformats.org/officeDocument/2006/relationships/hyperlink" Target="https://www.investopedia.com/terms/v/volatility.asp" TargetMode="External"/><Relationship Id="rId67" Type="http://schemas.openxmlformats.org/officeDocument/2006/relationships/hyperlink" Target="https://www.investopedia.com/terms/s/sml.asp" TargetMode="External"/><Relationship Id="rId103" Type="http://schemas.openxmlformats.org/officeDocument/2006/relationships/hyperlink" Target="https://www.investopedia.com/terms/s/systematicrisk.asp" TargetMode="External"/><Relationship Id="rId108" Type="http://schemas.openxmlformats.org/officeDocument/2006/relationships/hyperlink" Target="https://www.investopedia.com/terms/r/riskadjustedreturn.asp" TargetMode="External"/><Relationship Id="rId116" Type="http://schemas.openxmlformats.org/officeDocument/2006/relationships/hyperlink" Target="https://www.investopedia.com/terms/r/risk-freereturn.asp" TargetMode="External"/><Relationship Id="rId124" Type="http://schemas.openxmlformats.org/officeDocument/2006/relationships/hyperlink" Target="https://www.investopedia.com/terms/v/volatility.asp" TargetMode="External"/><Relationship Id="rId129" Type="http://schemas.openxmlformats.org/officeDocument/2006/relationships/hyperlink" Target="https://www.investopedia.com/terms/h/hedgefund.asp" TargetMode="External"/><Relationship Id="rId137" Type="http://schemas.openxmlformats.org/officeDocument/2006/relationships/hyperlink" Target="https://www.investopedia.com/terms/p/portfolio-return.asp" TargetMode="External"/><Relationship Id="rId20" Type="http://schemas.openxmlformats.org/officeDocument/2006/relationships/image" Target="media/image3.gif"/><Relationship Id="rId41" Type="http://schemas.openxmlformats.org/officeDocument/2006/relationships/hyperlink" Target="https://www.investopedia.com/terms/d/drawdown.asp" TargetMode="External"/><Relationship Id="rId54" Type="http://schemas.openxmlformats.org/officeDocument/2006/relationships/hyperlink" Target="https://www.investopedia.com/terms/b/beta.asp" TargetMode="External"/><Relationship Id="rId62" Type="http://schemas.openxmlformats.org/officeDocument/2006/relationships/hyperlink" Target="https://www.investopedia.com/terms/e/efficientfrontier.asp" TargetMode="External"/><Relationship Id="rId70" Type="http://schemas.openxmlformats.org/officeDocument/2006/relationships/hyperlink" Target="https://www.investopedia.com/terms/e/expectedreturn.asp" TargetMode="External"/><Relationship Id="rId75" Type="http://schemas.openxmlformats.org/officeDocument/2006/relationships/hyperlink" Target="https://www.investopedia.com/terms/r/riskpremium.asp" TargetMode="External"/><Relationship Id="rId83" Type="http://schemas.openxmlformats.org/officeDocument/2006/relationships/hyperlink" Target="https://www.investopedia.com/terms/c/cal.asp" TargetMode="External"/><Relationship Id="rId88" Type="http://schemas.openxmlformats.org/officeDocument/2006/relationships/hyperlink" Target="https://www.investopedia.com/terms/b/beta.asp" TargetMode="External"/><Relationship Id="rId91" Type="http://schemas.openxmlformats.org/officeDocument/2006/relationships/hyperlink" Target="https://www.investopedia.com/articles/08/performance-measure.asp" TargetMode="External"/><Relationship Id="rId96" Type="http://schemas.openxmlformats.org/officeDocument/2006/relationships/hyperlink" Target="https://www.investopedia.com/terms/b/beta.asp" TargetMode="External"/><Relationship Id="rId111" Type="http://schemas.openxmlformats.org/officeDocument/2006/relationships/hyperlink" Target="https://www.investopedia.com/terms/e/expectedreturn.asp" TargetMode="External"/><Relationship Id="rId132" Type="http://schemas.openxmlformats.org/officeDocument/2006/relationships/hyperlink" Target="https://www.investopedia.com/terms/b/beta.asp" TargetMode="External"/><Relationship Id="rId140" Type="http://schemas.openxmlformats.org/officeDocument/2006/relationships/hyperlink" Target="https://www.investopedia.com/terms/j/jensensmeasure.asp#:~:text=The%20Jensen's%20measure%2C%20or%20Jensen's,and%20the%20average%20market%20return" TargetMode="External"/><Relationship Id="rId14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investopedia.com/terms/d/djta.asp" TargetMode="External"/><Relationship Id="rId15" Type="http://schemas.openxmlformats.org/officeDocument/2006/relationships/hyperlink" Target="https://www.investopedia.com/trading/introduction-to-momentum-trading/" TargetMode="External"/><Relationship Id="rId23" Type="http://schemas.openxmlformats.org/officeDocument/2006/relationships/image" Target="media/image6.gif"/><Relationship Id="rId28" Type="http://schemas.openxmlformats.org/officeDocument/2006/relationships/hyperlink" Target="https://www.investopedia.com/articles/technical/111401.asp" TargetMode="External"/><Relationship Id="rId36" Type="http://schemas.openxmlformats.org/officeDocument/2006/relationships/hyperlink" Target="https://www.investopedia.com/terms/i/impulsewave.asp" TargetMode="External"/><Relationship Id="rId49" Type="http://schemas.openxmlformats.org/officeDocument/2006/relationships/hyperlink" Target="https://www.investopedia.com/terms/e/expectedreturn.asp" TargetMode="External"/><Relationship Id="rId57" Type="http://schemas.openxmlformats.org/officeDocument/2006/relationships/hyperlink" Target="https://www.investopedia.com/terms/r/requiredrateofreturn.asp" TargetMode="External"/><Relationship Id="rId106" Type="http://schemas.openxmlformats.org/officeDocument/2006/relationships/hyperlink" Target="https://www.investopedia.com/terms/c/cml.asp" TargetMode="External"/><Relationship Id="rId114" Type="http://schemas.openxmlformats.org/officeDocument/2006/relationships/hyperlink" Target="https://www.investopedia.com/terms/a/actualreturn.asp" TargetMode="External"/><Relationship Id="rId119" Type="http://schemas.openxmlformats.org/officeDocument/2006/relationships/hyperlink" Target="https://www.investopedia.com/terms/i/investment.asp" TargetMode="External"/><Relationship Id="rId127" Type="http://schemas.openxmlformats.org/officeDocument/2006/relationships/hyperlink" Target="https://www.investopedia.com/terms/m/modernportfoliotheory.asp" TargetMode="External"/><Relationship Id="rId10" Type="http://schemas.openxmlformats.org/officeDocument/2006/relationships/hyperlink" Target="https://www.investopedia.com/ask/answers/020615/what-are-top-technical-indicators-used-rangebound-trading-strategies.asp" TargetMode="External"/><Relationship Id="rId31" Type="http://schemas.openxmlformats.org/officeDocument/2006/relationships/hyperlink" Target="https://www.investopedia.com/terms/p/portfoliomanager.asp" TargetMode="External"/><Relationship Id="rId44" Type="http://schemas.openxmlformats.org/officeDocument/2006/relationships/hyperlink" Target="https://www.investopedia.com/terms/a/alpha.asp" TargetMode="External"/><Relationship Id="rId52" Type="http://schemas.openxmlformats.org/officeDocument/2006/relationships/hyperlink" Target="https://www.investopedia.com/terms/t/timevalueofmoney.asp" TargetMode="External"/><Relationship Id="rId60" Type="http://schemas.openxmlformats.org/officeDocument/2006/relationships/hyperlink" Target="https://www.investopedia.com/terms/n/normaldistribution.asp" TargetMode="External"/><Relationship Id="rId65" Type="http://schemas.openxmlformats.org/officeDocument/2006/relationships/hyperlink" Target="https://www.investopedia.com/terms/s/standarddeviation.asp" TargetMode="External"/><Relationship Id="rId73" Type="http://schemas.openxmlformats.org/officeDocument/2006/relationships/hyperlink" Target="https://www.investopedia.com/terms/r/riskreturntradeoff.asp" TargetMode="External"/><Relationship Id="rId78" Type="http://schemas.openxmlformats.org/officeDocument/2006/relationships/hyperlink" Target="https://www.investopedia.com/terms/u/undervalued.asp" TargetMode="External"/><Relationship Id="rId81" Type="http://schemas.openxmlformats.org/officeDocument/2006/relationships/hyperlink" Target="https://www.investopedia.com/terms/c/capm.asp" TargetMode="External"/><Relationship Id="rId86" Type="http://schemas.openxmlformats.org/officeDocument/2006/relationships/hyperlink" Target="https://www.investopedia.com/terms/s/sml.asp" TargetMode="External"/><Relationship Id="rId94" Type="http://schemas.openxmlformats.org/officeDocument/2006/relationships/hyperlink" Target="https://www.investopedia.com/terms/s/security.asp" TargetMode="External"/><Relationship Id="rId99" Type="http://schemas.openxmlformats.org/officeDocument/2006/relationships/hyperlink" Target="https://www.investopedia.com/terms/s/sp.asp" TargetMode="External"/><Relationship Id="rId101" Type="http://schemas.openxmlformats.org/officeDocument/2006/relationships/hyperlink" Target="https://www.investopedia.com/terms/r/risk-freerate.asp" TargetMode="External"/><Relationship Id="rId122" Type="http://schemas.openxmlformats.org/officeDocument/2006/relationships/hyperlink" Target="https://www.investopedia.com/terms/i/investor.asp" TargetMode="External"/><Relationship Id="rId130" Type="http://schemas.openxmlformats.org/officeDocument/2006/relationships/hyperlink" Target="https://www.investopedia.com/terms/b/beta.asp" TargetMode="External"/><Relationship Id="rId135" Type="http://schemas.openxmlformats.org/officeDocument/2006/relationships/hyperlink" Target="https://www.investopedia.com/terms/s/standarddeviation.asp" TargetMode="External"/><Relationship Id="rId143" Type="http://schemas.openxmlformats.org/officeDocument/2006/relationships/hyperlink" Target="https://www.investopedia.com/terms/i/index-etf.asp" TargetMode="External"/><Relationship Id="rId4" Type="http://schemas.openxmlformats.org/officeDocument/2006/relationships/webSettings" Target="webSettings.xml"/><Relationship Id="rId9" Type="http://schemas.openxmlformats.org/officeDocument/2006/relationships/hyperlink" Target="https://www.investopedia.com/terms/p/pullback.asp" TargetMode="External"/><Relationship Id="rId13" Type="http://schemas.openxmlformats.org/officeDocument/2006/relationships/hyperlink" Target="https://www.investopedia.com/terms/t/trough.asp" TargetMode="External"/><Relationship Id="rId18" Type="http://schemas.openxmlformats.org/officeDocument/2006/relationships/image" Target="media/image1.gif"/><Relationship Id="rId39" Type="http://schemas.openxmlformats.org/officeDocument/2006/relationships/hyperlink" Target="https://www.investopedia.com/terms/b/bull.asp" TargetMode="External"/><Relationship Id="rId109" Type="http://schemas.openxmlformats.org/officeDocument/2006/relationships/hyperlink" Target="https://www.investopedia.com/terms/r/rateofreturn.asp" TargetMode="External"/><Relationship Id="rId34" Type="http://schemas.openxmlformats.org/officeDocument/2006/relationships/hyperlink" Target="https://www.investopedia.com/terms/t/technicalanalysis.asp" TargetMode="External"/><Relationship Id="rId50" Type="http://schemas.openxmlformats.org/officeDocument/2006/relationships/hyperlink" Target="https://www.investopedia.com/terms/s/security.asp" TargetMode="External"/><Relationship Id="rId55" Type="http://schemas.openxmlformats.org/officeDocument/2006/relationships/hyperlink" Target="https://www.investopedia.com/terms/m/marketriskpremium.asp" TargetMode="External"/><Relationship Id="rId76" Type="http://schemas.openxmlformats.org/officeDocument/2006/relationships/hyperlink" Target="https://www.investopedia.com/terms/s/systematicrisk.asp" TargetMode="External"/><Relationship Id="rId97" Type="http://schemas.openxmlformats.org/officeDocument/2006/relationships/hyperlink" Target="https://www.investopedia.com/terms/v/volatility-ratio.asp" TargetMode="External"/><Relationship Id="rId104" Type="http://schemas.openxmlformats.org/officeDocument/2006/relationships/hyperlink" Target="https://www.investopedia.com/terms/u/unsystematicrisk.asp" TargetMode="External"/><Relationship Id="rId120" Type="http://schemas.openxmlformats.org/officeDocument/2006/relationships/hyperlink" Target="https://www.investopedia.com/terms/s/sharperatio.asp" TargetMode="External"/><Relationship Id="rId125" Type="http://schemas.openxmlformats.org/officeDocument/2006/relationships/hyperlink" Target="https://www.investopedia.com/articles/financial-theory/08/risk-free-rate-return.asp" TargetMode="External"/><Relationship Id="rId141" Type="http://schemas.openxmlformats.org/officeDocument/2006/relationships/hyperlink" Target="https://www.investopedia.com/terms/i/investment-manager.asp" TargetMode="External"/><Relationship Id="rId7" Type="http://schemas.openxmlformats.org/officeDocument/2006/relationships/hyperlink" Target="https://www.investopedia.com/articles/financial-theory/08/charles-dow.asp" TargetMode="External"/><Relationship Id="rId71" Type="http://schemas.openxmlformats.org/officeDocument/2006/relationships/hyperlink" Target="https://www.investopedia.com/terms/b/beta.asp" TargetMode="External"/><Relationship Id="rId92" Type="http://schemas.openxmlformats.org/officeDocument/2006/relationships/hyperlink" Target="https://www.investopedia.com/terms/j/jensensmeasure.asp" TargetMode="External"/><Relationship Id="rId2" Type="http://schemas.openxmlformats.org/officeDocument/2006/relationships/styles" Target="styles.xml"/><Relationship Id="rId29" Type="http://schemas.openxmlformats.org/officeDocument/2006/relationships/hyperlink" Target="https://www.investopedia.com/terms/m/marketindex.asp" TargetMode="External"/><Relationship Id="rId24" Type="http://schemas.openxmlformats.org/officeDocument/2006/relationships/image" Target="media/image7.gif"/><Relationship Id="rId40" Type="http://schemas.openxmlformats.org/officeDocument/2006/relationships/hyperlink" Target="https://www.investopedia.com/terms/f/fibonaccilines.asp" TargetMode="External"/><Relationship Id="rId45" Type="http://schemas.openxmlformats.org/officeDocument/2006/relationships/hyperlink" Target="https://www.investopedia.com/terms/m/markettiming.asp" TargetMode="External"/><Relationship Id="rId66" Type="http://schemas.openxmlformats.org/officeDocument/2006/relationships/hyperlink" Target="https://www.investopedia.com/terms/s/sml.asp" TargetMode="External"/><Relationship Id="rId87" Type="http://schemas.openxmlformats.org/officeDocument/2006/relationships/hyperlink" Target="https://www.investopedia.com/terms/s/systematicrisk.asp" TargetMode="External"/><Relationship Id="rId110" Type="http://schemas.openxmlformats.org/officeDocument/2006/relationships/hyperlink" Target="https://www.investopedia.com/investing/importance-diversification/" TargetMode="External"/><Relationship Id="rId115" Type="http://schemas.openxmlformats.org/officeDocument/2006/relationships/hyperlink" Target="https://www.investopedia.com/terms/y/yield.asp" TargetMode="External"/><Relationship Id="rId131" Type="http://schemas.openxmlformats.org/officeDocument/2006/relationships/hyperlink" Target="https://www.investopedia.com/ask/answers/060515/what-are-some-examples-financial-markets-and-their-roles.asp" TargetMode="External"/><Relationship Id="rId136" Type="http://schemas.openxmlformats.org/officeDocument/2006/relationships/hyperlink" Target="https://www.investopedia.com/terms/e/economist.asp" TargetMode="External"/><Relationship Id="rId61" Type="http://schemas.openxmlformats.org/officeDocument/2006/relationships/hyperlink" Target="https://www.investopedia.com/terms/o/overvalued.asp" TargetMode="External"/><Relationship Id="rId82" Type="http://schemas.openxmlformats.org/officeDocument/2006/relationships/hyperlink" Target="https://www.investopedia.com/terms/r/risk-freerate.asp" TargetMode="External"/><Relationship Id="rId19" Type="http://schemas.openxmlformats.org/officeDocument/2006/relationships/image" Target="media/image2.gif"/><Relationship Id="rId14" Type="http://schemas.openxmlformats.org/officeDocument/2006/relationships/hyperlink" Target="https://www.investopedia.com/trading/peak-and-trough-analysis/" TargetMode="External"/><Relationship Id="rId30" Type="http://schemas.openxmlformats.org/officeDocument/2006/relationships/hyperlink" Target="https://www.investopedia.com/terms/b/bottom.asp" TargetMode="External"/><Relationship Id="rId35" Type="http://schemas.openxmlformats.org/officeDocument/2006/relationships/hyperlink" Target="https://www.investopedia.com/terms/t/technicalindicator.asp" TargetMode="External"/><Relationship Id="rId56" Type="http://schemas.openxmlformats.org/officeDocument/2006/relationships/hyperlink" Target="https://www.investopedia.com/ask/answers/040915/how-riskfree-rate-determined-when-calculating-market-risk-premium.asp" TargetMode="External"/><Relationship Id="rId77" Type="http://schemas.openxmlformats.org/officeDocument/2006/relationships/hyperlink" Target="https://www.investopedia.com/terms/p/portfolio.asp" TargetMode="External"/><Relationship Id="rId100" Type="http://schemas.openxmlformats.org/officeDocument/2006/relationships/hyperlink" Target="https://www.investopedia.com/terms/t/treasurybill.asp" TargetMode="External"/><Relationship Id="rId105" Type="http://schemas.openxmlformats.org/officeDocument/2006/relationships/hyperlink" Target="https://www.investopedia.com/terms/c/capm.asp" TargetMode="External"/><Relationship Id="rId126" Type="http://schemas.openxmlformats.org/officeDocument/2006/relationships/hyperlink" Target="https://www.investopedia.com/terms/s/standarddeviation.asp" TargetMode="External"/><Relationship Id="rId8" Type="http://schemas.openxmlformats.org/officeDocument/2006/relationships/hyperlink" Target="https://www.investopedia.com/terms/t/technicalanalysis.asp" TargetMode="External"/><Relationship Id="rId51" Type="http://schemas.openxmlformats.org/officeDocument/2006/relationships/hyperlink" Target="https://www.investopedia.com/terms/c/costofcapital.asp" TargetMode="External"/><Relationship Id="rId72" Type="http://schemas.openxmlformats.org/officeDocument/2006/relationships/hyperlink" Target="https://www.investopedia.com/terms/m/marketriskpremium.asp" TargetMode="External"/><Relationship Id="rId93" Type="http://schemas.openxmlformats.org/officeDocument/2006/relationships/hyperlink" Target="https://www.investopedia.com/terms/s/stockmarket.asp" TargetMode="External"/><Relationship Id="rId98" Type="http://schemas.openxmlformats.org/officeDocument/2006/relationships/hyperlink" Target="https://www.investopedia.com/terms/r/riskpremium.asp" TargetMode="External"/><Relationship Id="rId121" Type="http://schemas.openxmlformats.org/officeDocument/2006/relationships/hyperlink" Target="https://www.investopedia.com/terms/w/william-f-sharpe.asp" TargetMode="External"/><Relationship Id="rId142" Type="http://schemas.openxmlformats.org/officeDocument/2006/relationships/hyperlink" Target="https://www.investopedia.com/terms/f/fundmanager.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35</Pages>
  <Words>11199</Words>
  <Characters>63839</Characters>
  <Application>Microsoft Office Word</Application>
  <DocSecurity>0</DocSecurity>
  <Lines>531</Lines>
  <Paragraphs>149</Paragraphs>
  <ScaleCrop>false</ScaleCrop>
  <Company/>
  <LinksUpToDate>false</LinksUpToDate>
  <CharactersWithSpaces>74889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7</cp:revision>
  <dcterms:created xsi:type="dcterms:W3CDTF">2020-11-22T09:00:00Z</dcterms:created>
  <dcterms:modified xsi:type="dcterms:W3CDTF">2020-11-22T09:12:00Z</dcterms:modified>
</cp:coreProperties>
</file>