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4E9A25" w14:textId="2348CCE7" w:rsidR="00193F8E" w:rsidRPr="000F200A" w:rsidRDefault="000F200A" w:rsidP="000F200A">
      <w:pPr>
        <w:ind w:left="2160" w:firstLine="720"/>
        <w:rPr>
          <w:sz w:val="36"/>
          <w:szCs w:val="36"/>
        </w:rPr>
      </w:pPr>
      <w:r>
        <w:rPr>
          <w:sz w:val="36"/>
          <w:szCs w:val="36"/>
        </w:rPr>
        <w:t xml:space="preserve">        </w:t>
      </w:r>
      <w:r w:rsidRPr="000F200A">
        <w:rPr>
          <w:sz w:val="36"/>
          <w:szCs w:val="36"/>
        </w:rPr>
        <w:t xml:space="preserve">Module 2 </w:t>
      </w:r>
    </w:p>
    <w:p w14:paraId="4E9112BB" w14:textId="4C4AD4D0" w:rsidR="000F200A" w:rsidRDefault="000F200A" w:rsidP="000F200A">
      <w:pPr>
        <w:ind w:left="2160"/>
        <w:rPr>
          <w:sz w:val="36"/>
          <w:szCs w:val="36"/>
        </w:rPr>
      </w:pPr>
      <w:r w:rsidRPr="000F200A">
        <w:rPr>
          <w:sz w:val="36"/>
          <w:szCs w:val="36"/>
        </w:rPr>
        <w:t xml:space="preserve">Instruments and Participants </w:t>
      </w:r>
    </w:p>
    <w:p w14:paraId="733859F4" w14:textId="5C71217A" w:rsidR="007A68C8" w:rsidRPr="009B6736" w:rsidRDefault="007A68C8" w:rsidP="00A55C63">
      <w:pPr>
        <w:ind w:left="2880" w:firstLine="720"/>
        <w:rPr>
          <w:rFonts w:ascii="Arial" w:hAnsi="Arial" w:cs="Arial"/>
          <w:b/>
          <w:bCs/>
          <w:sz w:val="24"/>
          <w:szCs w:val="24"/>
        </w:rPr>
      </w:pPr>
      <w:r w:rsidRPr="009B6736">
        <w:rPr>
          <w:rFonts w:ascii="Arial" w:hAnsi="Arial" w:cs="Arial"/>
          <w:b/>
          <w:bCs/>
          <w:sz w:val="24"/>
          <w:szCs w:val="24"/>
        </w:rPr>
        <w:t>Instruments</w:t>
      </w:r>
    </w:p>
    <w:p w14:paraId="7A855F4F" w14:textId="55854412" w:rsidR="00EC7AD4" w:rsidRPr="00EC7AD4" w:rsidRDefault="00EC7AD4" w:rsidP="00EC7AD4">
      <w:pPr>
        <w:shd w:val="clear" w:color="auto" w:fill="FFFFFF"/>
        <w:jc w:val="both"/>
        <w:rPr>
          <w:rFonts w:ascii="Arial" w:eastAsia="Times New Roman" w:hAnsi="Arial" w:cs="Arial"/>
          <w:color w:val="000000"/>
          <w:kern w:val="0"/>
          <w:sz w:val="24"/>
          <w:szCs w:val="24"/>
          <w:lang w:eastAsia="en-IN"/>
          <w14:ligatures w14:val="none"/>
        </w:rPr>
      </w:pPr>
      <w:r w:rsidRPr="00EC7AD4">
        <w:rPr>
          <w:rFonts w:ascii="Arial" w:hAnsi="Arial" w:cs="Arial"/>
          <w:sz w:val="24"/>
          <w:szCs w:val="24"/>
        </w:rPr>
        <w:t xml:space="preserve">CMB (cash Management Bills) </w:t>
      </w:r>
      <w:r w:rsidRPr="00EC7AD4">
        <w:rPr>
          <w:rFonts w:ascii="Arial" w:eastAsia="Times New Roman" w:hAnsi="Arial" w:cs="Arial"/>
          <w:color w:val="000000"/>
          <w:kern w:val="0"/>
          <w:sz w:val="24"/>
          <w:szCs w:val="24"/>
          <w:lang w:eastAsia="en-IN"/>
          <w14:ligatures w14:val="none"/>
        </w:rPr>
        <w:t>The Government of India, in consultation with the Reserve Bank of India, has decided to issue a new short-term instrument, known as Cash Management Bills, to meet the temporary cash flow mismatches of the Government. The Cash Management Bills will be non-standard, discounted instruments issued for maturities less than 91 days.  The Cash Management Bills will have the generic character of Treasury Bills and their sale will be subject to the terms and conditions specified in the General Notification No. F.2 (12)-W&amp;M/97 dated 31st March 1998 issued by Government of India and as amended from time to time. The Cash Management Bills will have the following features.</w:t>
      </w:r>
    </w:p>
    <w:p w14:paraId="69A64BE3" w14:textId="77777777" w:rsidR="00EC7AD4" w:rsidRPr="00EC7AD4" w:rsidRDefault="00EC7AD4" w:rsidP="00EC7AD4">
      <w:pPr>
        <w:numPr>
          <w:ilvl w:val="0"/>
          <w:numId w:val="8"/>
        </w:numPr>
        <w:shd w:val="clear" w:color="auto" w:fill="FFFFFF"/>
        <w:spacing w:after="225"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tenure, notified amount and date of issue of the proposed Cash Management Bills will depend upon the temporary cash requirement of the Government. However, the tenure of the proposed Bills will be less than 91 days</w:t>
      </w:r>
    </w:p>
    <w:p w14:paraId="2BBA3CC6" w14:textId="77777777" w:rsidR="00EC7AD4" w:rsidRPr="00EC7AD4" w:rsidRDefault="00EC7AD4" w:rsidP="00EC7AD4">
      <w:pPr>
        <w:numPr>
          <w:ilvl w:val="0"/>
          <w:numId w:val="8"/>
        </w:numPr>
        <w:shd w:val="clear" w:color="auto" w:fill="FFFFFF"/>
        <w:spacing w:after="225"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proposed Bills will be issued at discount to the face value through auctions, as in the case of the Treasury Bills.</w:t>
      </w:r>
    </w:p>
    <w:p w14:paraId="22BA54B1" w14:textId="77777777" w:rsidR="00EC7AD4" w:rsidRPr="00EC7AD4" w:rsidRDefault="00EC7AD4" w:rsidP="00EC7AD4">
      <w:pPr>
        <w:numPr>
          <w:ilvl w:val="0"/>
          <w:numId w:val="8"/>
        </w:numPr>
        <w:shd w:val="clear" w:color="auto" w:fill="FFFFFF"/>
        <w:spacing w:after="0"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announcement of the auction of the proposed Bills will be made by the Reserve Bank of India through separate Press Release to be issued one day prior to the date of auction.</w:t>
      </w:r>
    </w:p>
    <w:p w14:paraId="614FDF31" w14:textId="77777777" w:rsidR="00EC7AD4" w:rsidRPr="00EC7AD4" w:rsidRDefault="00EC7AD4" w:rsidP="00EC7AD4">
      <w:pPr>
        <w:numPr>
          <w:ilvl w:val="0"/>
          <w:numId w:val="8"/>
        </w:numPr>
        <w:shd w:val="clear" w:color="auto" w:fill="FFFFFF"/>
        <w:spacing w:after="225"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settlement of the auction will be on T+1 basis.</w:t>
      </w:r>
    </w:p>
    <w:p w14:paraId="50325349" w14:textId="77777777" w:rsidR="00EC7AD4" w:rsidRPr="00EC7AD4" w:rsidRDefault="00EC7AD4" w:rsidP="00EC7AD4">
      <w:pPr>
        <w:numPr>
          <w:ilvl w:val="0"/>
          <w:numId w:val="8"/>
        </w:numPr>
        <w:shd w:val="clear" w:color="auto" w:fill="FFFFFF"/>
        <w:spacing w:after="225"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Non-Competitive Bidding Scheme for Treasury Bills will not be extended to the Cash Management Bills.</w:t>
      </w:r>
    </w:p>
    <w:p w14:paraId="35B1F45B" w14:textId="77777777" w:rsidR="00EC7AD4" w:rsidRPr="00EC7AD4" w:rsidRDefault="00EC7AD4" w:rsidP="00EC7AD4">
      <w:pPr>
        <w:numPr>
          <w:ilvl w:val="0"/>
          <w:numId w:val="8"/>
        </w:numPr>
        <w:shd w:val="clear" w:color="auto" w:fill="FFFFFF"/>
        <w:spacing w:after="225" w:line="240" w:lineRule="auto"/>
        <w:ind w:left="1170"/>
        <w:jc w:val="both"/>
        <w:rPr>
          <w:rFonts w:ascii="Arial" w:eastAsia="Times New Roman" w:hAnsi="Arial" w:cs="Arial"/>
          <w:color w:val="000000"/>
          <w:kern w:val="0"/>
          <w:sz w:val="24"/>
          <w:szCs w:val="24"/>
          <w:lang w:eastAsia="en-IN"/>
          <w14:ligatures w14:val="none"/>
        </w:rPr>
      </w:pPr>
      <w:r w:rsidRPr="00EC7AD4">
        <w:rPr>
          <w:rFonts w:ascii="Arial" w:eastAsia="Times New Roman" w:hAnsi="Arial" w:cs="Arial"/>
          <w:color w:val="000000"/>
          <w:kern w:val="0"/>
          <w:sz w:val="24"/>
          <w:szCs w:val="24"/>
          <w:lang w:eastAsia="en-IN"/>
          <w14:ligatures w14:val="none"/>
        </w:rPr>
        <w:t>The proposed Bills will be tradable and qualify for ready forward facility.</w:t>
      </w:r>
    </w:p>
    <w:p w14:paraId="33B80788" w14:textId="06F822ED" w:rsidR="00EC7AD4" w:rsidRPr="00EC7AD4" w:rsidRDefault="00EC7AD4" w:rsidP="007A68C8">
      <w:pPr>
        <w:rPr>
          <w:rFonts w:ascii="Arial" w:hAnsi="Arial" w:cs="Arial"/>
          <w:b/>
          <w:bCs/>
          <w:sz w:val="24"/>
          <w:szCs w:val="24"/>
        </w:rPr>
      </w:pPr>
    </w:p>
    <w:p w14:paraId="632C5DCB" w14:textId="77777777" w:rsidR="007A68C8" w:rsidRPr="007A68C8" w:rsidRDefault="007A68C8" w:rsidP="007A68C8">
      <w:pPr>
        <w:ind w:left="360"/>
        <w:jc w:val="both"/>
        <w:rPr>
          <w:rFonts w:ascii="Arial" w:hAnsi="Arial" w:cs="Arial"/>
          <w:sz w:val="24"/>
          <w:szCs w:val="24"/>
        </w:rPr>
      </w:pPr>
      <w:r w:rsidRPr="007A68C8">
        <w:rPr>
          <w:rFonts w:ascii="Arial" w:hAnsi="Arial" w:cs="Arial"/>
          <w:b/>
          <w:bCs/>
          <w:sz w:val="24"/>
          <w:szCs w:val="24"/>
          <w:lang w:val="en-US"/>
        </w:rPr>
        <w:t>Treasury Bills-</w:t>
      </w:r>
      <w:r w:rsidRPr="007A68C8">
        <w:rPr>
          <w:rFonts w:ascii="Arial" w:hAnsi="Arial" w:cs="Arial"/>
          <w:sz w:val="24"/>
          <w:szCs w:val="24"/>
          <w:lang w:val="en-US"/>
        </w:rPr>
        <w:t xml:space="preserve"> They refer to short-term bills of the central government. The treasury bills are issued by the central government to meet temporary deficits. 3 types of bills are viz., 91 days, 182 days, 364 days. The government also converts a part of the treasury bills into long-term bonds. The RBI rediscounts the treasury bills presented to it by commercial banks and other institutions. RBI issues the treasury bills on behalf </w:t>
      </w:r>
      <w:proofErr w:type="gramStart"/>
      <w:r w:rsidRPr="007A68C8">
        <w:rPr>
          <w:rFonts w:ascii="Arial" w:hAnsi="Arial" w:cs="Arial"/>
          <w:sz w:val="24"/>
          <w:szCs w:val="24"/>
          <w:lang w:val="en-US"/>
        </w:rPr>
        <w:t>of  the</w:t>
      </w:r>
      <w:proofErr w:type="gramEnd"/>
      <w:r w:rsidRPr="007A68C8">
        <w:rPr>
          <w:rFonts w:ascii="Arial" w:hAnsi="Arial" w:cs="Arial"/>
          <w:sz w:val="24"/>
          <w:szCs w:val="24"/>
          <w:lang w:val="en-US"/>
        </w:rPr>
        <w:t xml:space="preserve"> govt.at a discount. They are considered as highly liquids and investments on treasury bills are considered as secured.</w:t>
      </w:r>
    </w:p>
    <w:p w14:paraId="38171E8C" w14:textId="77777777" w:rsidR="007A68C8" w:rsidRPr="007A68C8" w:rsidRDefault="007A68C8" w:rsidP="007A68C8">
      <w:pPr>
        <w:ind w:left="360"/>
        <w:jc w:val="both"/>
        <w:rPr>
          <w:rFonts w:ascii="Arial" w:hAnsi="Arial" w:cs="Arial"/>
          <w:sz w:val="24"/>
          <w:szCs w:val="24"/>
        </w:rPr>
      </w:pPr>
      <w:r w:rsidRPr="007A68C8">
        <w:rPr>
          <w:rFonts w:ascii="Arial" w:hAnsi="Arial" w:cs="Arial"/>
          <w:sz w:val="24"/>
          <w:szCs w:val="24"/>
          <w:lang w:val="en-US"/>
        </w:rPr>
        <w:t xml:space="preserve"> </w:t>
      </w:r>
      <w:r w:rsidRPr="007A68C8">
        <w:rPr>
          <w:rFonts w:ascii="Arial" w:hAnsi="Arial" w:cs="Arial"/>
          <w:b/>
          <w:bCs/>
          <w:sz w:val="24"/>
          <w:szCs w:val="24"/>
          <w:lang w:val="en-US"/>
        </w:rPr>
        <w:t>Commercial Paper</w:t>
      </w:r>
      <w:r w:rsidRPr="007A68C8">
        <w:rPr>
          <w:rFonts w:ascii="Arial" w:hAnsi="Arial" w:cs="Arial"/>
          <w:sz w:val="24"/>
          <w:szCs w:val="24"/>
          <w:lang w:val="en-US"/>
        </w:rPr>
        <w:t xml:space="preserve">: Commercial Paper (CP) is an unsecured money market instrument issued in the form of a promissory no. It was introduced in 1990 as an instrument for addressing short term liquidity. Corporates, primary dealers (PDs) and the All-India Financial Institutions (FIs) are eligible to issue CP.  A corporate would be eligible to issue CP provided –a. the tangible net worth of the company, as per the latest audited balance sheet, is not less than Rs. 4 crore b. company </w:t>
      </w:r>
      <w:r w:rsidRPr="007A68C8">
        <w:rPr>
          <w:rFonts w:ascii="Arial" w:hAnsi="Arial" w:cs="Arial"/>
          <w:sz w:val="24"/>
          <w:szCs w:val="24"/>
          <w:lang w:val="en-US"/>
        </w:rPr>
        <w:lastRenderedPageBreak/>
        <w:t xml:space="preserve">has been sanctioned working capital limit by bank/s or all-India financial institution/s; and c. the </w:t>
      </w:r>
      <w:proofErr w:type="spellStart"/>
      <w:r w:rsidRPr="007A68C8">
        <w:rPr>
          <w:rFonts w:ascii="Arial" w:hAnsi="Arial" w:cs="Arial"/>
          <w:sz w:val="24"/>
          <w:szCs w:val="24"/>
          <w:lang w:val="en-US"/>
        </w:rPr>
        <w:t>borrowal</w:t>
      </w:r>
      <w:proofErr w:type="spellEnd"/>
      <w:r w:rsidRPr="007A68C8">
        <w:rPr>
          <w:rFonts w:ascii="Arial" w:hAnsi="Arial" w:cs="Arial"/>
          <w:sz w:val="24"/>
          <w:szCs w:val="24"/>
          <w:lang w:val="en-US"/>
        </w:rPr>
        <w:t xml:space="preserve"> account of the company is classified as a Standard Asset by the financing bank/s/ institution/</w:t>
      </w:r>
      <w:proofErr w:type="spellStart"/>
      <w:r w:rsidRPr="007A68C8">
        <w:rPr>
          <w:rFonts w:ascii="Arial" w:hAnsi="Arial" w:cs="Arial"/>
          <w:sz w:val="24"/>
          <w:szCs w:val="24"/>
          <w:lang w:val="en-US"/>
        </w:rPr>
        <w:t>sThe</w:t>
      </w:r>
      <w:proofErr w:type="spellEnd"/>
      <w:r w:rsidRPr="007A68C8">
        <w:rPr>
          <w:rFonts w:ascii="Arial" w:hAnsi="Arial" w:cs="Arial"/>
          <w:sz w:val="24"/>
          <w:szCs w:val="24"/>
          <w:lang w:val="en-US"/>
        </w:rPr>
        <w:t xml:space="preserve"> minimum credit rating shall be A-2 (CARE/ICRA/CRISIL) CP can be issued for maturities between a minimum of 7 days and a maximum of up to one year from the date of issue. CP can be issued in denominations of Rs.5 lakh or multiples thereof. Individuals, banking companies, other corporate bodies (registered or incorporated in India) and unincorporated bodies, Non-Resident Indians (NRIs) and Foreign Institutional Investors (FIIs) etc. can invest in CPs (subject to limit prescribed by SEBI) CP will be issued at a discount to face value as may be determined by the issuer.  CPs are actively traded in the OTC market.</w:t>
      </w:r>
    </w:p>
    <w:p w14:paraId="69FBA69E" w14:textId="77777777" w:rsidR="007A68C8" w:rsidRPr="007A68C8" w:rsidRDefault="007A68C8" w:rsidP="007A68C8">
      <w:pPr>
        <w:ind w:left="360"/>
        <w:jc w:val="both"/>
        <w:rPr>
          <w:rFonts w:ascii="Arial" w:hAnsi="Arial" w:cs="Arial"/>
          <w:sz w:val="24"/>
          <w:szCs w:val="24"/>
        </w:rPr>
      </w:pPr>
      <w:r w:rsidRPr="007A68C8">
        <w:rPr>
          <w:rFonts w:ascii="Arial" w:hAnsi="Arial" w:cs="Arial"/>
          <w:sz w:val="24"/>
          <w:szCs w:val="24"/>
          <w:lang w:val="en-US"/>
        </w:rPr>
        <w:t xml:space="preserve">The main risks are credit risks and liquidity risk. </w:t>
      </w:r>
    </w:p>
    <w:p w14:paraId="3DFE1345" w14:textId="53567AD9" w:rsidR="007A68C8" w:rsidRPr="007A68C8" w:rsidRDefault="007A68C8" w:rsidP="007A68C8">
      <w:pPr>
        <w:ind w:left="360"/>
        <w:jc w:val="both"/>
        <w:rPr>
          <w:rFonts w:ascii="Arial" w:hAnsi="Arial" w:cs="Arial"/>
        </w:rPr>
      </w:pPr>
      <w:r>
        <w:rPr>
          <w:rFonts w:ascii="Arial" w:hAnsi="Arial" w:cs="Arial"/>
          <w:sz w:val="24"/>
          <w:szCs w:val="24"/>
        </w:rPr>
        <w:t xml:space="preserve"> </w:t>
      </w:r>
      <w:r w:rsidRPr="007A68C8">
        <w:rPr>
          <w:rFonts w:ascii="Arial" w:hAnsi="Arial" w:cs="Arial"/>
          <w:b/>
          <w:bCs/>
          <w:lang w:val="en-US"/>
        </w:rPr>
        <w:t>Certificate of Deposit</w:t>
      </w:r>
      <w:r w:rsidRPr="007A68C8">
        <w:rPr>
          <w:rFonts w:ascii="Arial" w:hAnsi="Arial" w:cs="Arial"/>
          <w:lang w:val="en-US"/>
        </w:rPr>
        <w:t xml:space="preserve"> (CD) is a negotiable money market instrument and issued in dematerialized form or as a Usance Promissory Note against funds deposited at a bank or other eligible financial institution for a specified </w:t>
      </w:r>
      <w:proofErr w:type="gramStart"/>
      <w:r w:rsidRPr="007A68C8">
        <w:rPr>
          <w:rFonts w:ascii="Arial" w:hAnsi="Arial" w:cs="Arial"/>
          <w:lang w:val="en-US"/>
        </w:rPr>
        <w:t>time period</w:t>
      </w:r>
      <w:proofErr w:type="gramEnd"/>
      <w:r w:rsidRPr="007A68C8">
        <w:rPr>
          <w:rFonts w:ascii="Arial" w:hAnsi="Arial" w:cs="Arial"/>
          <w:lang w:val="en-US"/>
        </w:rPr>
        <w:t>. CDs can be issued by (</w:t>
      </w:r>
      <w:proofErr w:type="spellStart"/>
      <w:r w:rsidRPr="007A68C8">
        <w:rPr>
          <w:rFonts w:ascii="Arial" w:hAnsi="Arial" w:cs="Arial"/>
          <w:lang w:val="en-US"/>
        </w:rPr>
        <w:t>i</w:t>
      </w:r>
      <w:proofErr w:type="spellEnd"/>
      <w:r w:rsidRPr="007A68C8">
        <w:rPr>
          <w:rFonts w:ascii="Arial" w:hAnsi="Arial" w:cs="Arial"/>
          <w:lang w:val="en-US"/>
        </w:rPr>
        <w:t>) scheduled commercial banks {excluding Regional Rural Banks and Local Area Banks}; and (ii) select All-India Financial Institutions (FIs) that have been permitted by RBI. IDBI, ICICI, IFCI, SIDBI EXIM bank has also been allowed to issue these certificates. Minimum amount of a CD should be Rs.1 lakh, i.e., the minimum deposit that could be accepted from a single subscriber should not be less than Rs.1 lakh, and in multiples of Rs. 1 lakh thereafter. CDs can be issued to individuals, corporations, companies (including banks and PDs), trusts, funds, associations, etc. Non-Resident Indians (NRIs) may also subscribe to CDs, but only on non-repatriable basis. The maturity period of CDs issued by banks should not be less than 7 days and not more than one year, from the date of issue. The FIs can issue CDs for a period not less than 1 year and not exceeding 3 years from the date of issue. All OTC trades in CDs shall be reported within 15 days of the trade on the FIMMDA reporting platform. CDs may be issued at a discount on face value. Banks / FIs are also allowed to issue CDs on floating rate basis. Banks / FIs may account the issue price under the Head "CDs issued" and show it under deposits. Accounting entries towards discount will be made as in the case of "Cash Certificates". CDs in physical form are freely transferable by endorsement and delivery. CDs in demat form can be transferred as per the procedure applicable to other demat securities. There is no lock-in period for the CDs.</w:t>
      </w:r>
    </w:p>
    <w:p w14:paraId="327739A4" w14:textId="7D95708F" w:rsidR="007A68C8" w:rsidRPr="007A68C8" w:rsidRDefault="007A68C8" w:rsidP="007A68C8">
      <w:pPr>
        <w:ind w:left="360"/>
        <w:jc w:val="both"/>
        <w:rPr>
          <w:rFonts w:ascii="Arial" w:hAnsi="Arial" w:cs="Arial"/>
        </w:rPr>
      </w:pPr>
      <w:proofErr w:type="gramStart"/>
      <w:r w:rsidRPr="007A68C8">
        <w:rPr>
          <w:rFonts w:ascii="Arial" w:hAnsi="Arial" w:cs="Arial"/>
          <w:b/>
          <w:bCs/>
          <w:lang w:val="en-US"/>
        </w:rPr>
        <w:t>Debenture</w:t>
      </w:r>
      <w:r>
        <w:rPr>
          <w:rFonts w:ascii="Arial" w:hAnsi="Arial" w:cs="Arial"/>
          <w:lang w:val="en-US"/>
        </w:rPr>
        <w:t xml:space="preserve"> :</w:t>
      </w:r>
      <w:proofErr w:type="gramEnd"/>
      <w:r>
        <w:rPr>
          <w:rFonts w:ascii="Arial" w:hAnsi="Arial" w:cs="Arial"/>
          <w:lang w:val="en-US"/>
        </w:rPr>
        <w:t xml:space="preserve"> </w:t>
      </w:r>
      <w:r w:rsidRPr="007A68C8">
        <w:rPr>
          <w:rFonts w:ascii="Arial" w:hAnsi="Arial" w:cs="Arial"/>
          <w:lang w:val="en-US"/>
        </w:rPr>
        <w:t xml:space="preserve">A debenture is a medium- to long-term debt instrument used by large companies to borrow money, at a fixed rate of interest. A debenture is thus like a certificate of loan or a loan bond evidencing the fact that the company is liable to pay a specified amount with interest. Although the money raised by the debentures becomes a part of the company's capital structure, it does not become share capital. There are different types of </w:t>
      </w:r>
      <w:proofErr w:type="gramStart"/>
      <w:r w:rsidRPr="007A68C8">
        <w:rPr>
          <w:rFonts w:ascii="Arial" w:hAnsi="Arial" w:cs="Arial"/>
          <w:lang w:val="en-US"/>
        </w:rPr>
        <w:t>debentures :</w:t>
      </w:r>
      <w:proofErr w:type="gramEnd"/>
      <w:r w:rsidRPr="007A68C8">
        <w:rPr>
          <w:rFonts w:ascii="Arial" w:hAnsi="Arial" w:cs="Arial"/>
          <w:lang w:val="en-US"/>
        </w:rPr>
        <w:t xml:space="preserve"> registered debentures, bearer debentures, secured debentures, unsecured debentures, convertible debentures, </w:t>
      </w:r>
      <w:proofErr w:type="spellStart"/>
      <w:r w:rsidRPr="007A68C8">
        <w:rPr>
          <w:rFonts w:ascii="Arial" w:hAnsi="Arial" w:cs="Arial"/>
          <w:lang w:val="en-US"/>
        </w:rPr>
        <w:t>non convertible</w:t>
      </w:r>
      <w:proofErr w:type="spellEnd"/>
      <w:r w:rsidRPr="007A68C8">
        <w:rPr>
          <w:rFonts w:ascii="Arial" w:hAnsi="Arial" w:cs="Arial"/>
          <w:lang w:val="en-US"/>
        </w:rPr>
        <w:t xml:space="preserve"> debentures, redeemable debentures. Whenever debentures are issued debenture trustees are to be appointed (registered with SEBI) who </w:t>
      </w:r>
      <w:proofErr w:type="gramStart"/>
      <w:r w:rsidRPr="007A68C8">
        <w:rPr>
          <w:rFonts w:ascii="Arial" w:hAnsi="Arial" w:cs="Arial"/>
          <w:lang w:val="en-US"/>
        </w:rPr>
        <w:t>are in charge of</w:t>
      </w:r>
      <w:proofErr w:type="gramEnd"/>
      <w:r w:rsidRPr="007A68C8">
        <w:rPr>
          <w:rFonts w:ascii="Arial" w:hAnsi="Arial" w:cs="Arial"/>
          <w:lang w:val="en-US"/>
        </w:rPr>
        <w:t xml:space="preserve"> overseeing the use of funds and investor’s interest.  For a company to issue NCDs, as per RBI it should have a net worth more than 4 crores, have been sanctioned working capital finance or term loans by a bank, the asset should be standard as on issue of debentures. The corporate should have a minimum credit rating of A2 given by CRISIL/ICRA/ CARE/ </w:t>
      </w:r>
      <w:proofErr w:type="gramStart"/>
      <w:r w:rsidRPr="007A68C8">
        <w:rPr>
          <w:rFonts w:ascii="Arial" w:hAnsi="Arial" w:cs="Arial"/>
          <w:lang w:val="en-US"/>
        </w:rPr>
        <w:t>FITCH  Minimum</w:t>
      </w:r>
      <w:proofErr w:type="gramEnd"/>
      <w:r w:rsidRPr="007A68C8">
        <w:rPr>
          <w:rFonts w:ascii="Arial" w:hAnsi="Arial" w:cs="Arial"/>
          <w:lang w:val="en-US"/>
        </w:rPr>
        <w:t xml:space="preserve"> period of issue should be more than 90 days and it should not exceed the period for which the rating of the debenture has been given. The minimum amount should be Rs 5 lakh and </w:t>
      </w:r>
      <w:proofErr w:type="gramStart"/>
      <w:r w:rsidRPr="007A68C8">
        <w:rPr>
          <w:rFonts w:ascii="Arial" w:hAnsi="Arial" w:cs="Arial"/>
          <w:lang w:val="en-US"/>
        </w:rPr>
        <w:t>thereafter  in</w:t>
      </w:r>
      <w:proofErr w:type="gramEnd"/>
      <w:r w:rsidRPr="007A68C8">
        <w:rPr>
          <w:rFonts w:ascii="Arial" w:hAnsi="Arial" w:cs="Arial"/>
          <w:lang w:val="en-US"/>
        </w:rPr>
        <w:t xml:space="preserve"> multiples of Rs1 lakh. </w:t>
      </w:r>
    </w:p>
    <w:p w14:paraId="22EB202C" w14:textId="77777777" w:rsidR="007A68C8" w:rsidRPr="007A68C8" w:rsidRDefault="007A68C8" w:rsidP="007A68C8">
      <w:pPr>
        <w:ind w:left="360"/>
        <w:jc w:val="both"/>
        <w:rPr>
          <w:rFonts w:ascii="Arial" w:hAnsi="Arial" w:cs="Arial"/>
        </w:rPr>
      </w:pPr>
      <w:r w:rsidRPr="007A68C8">
        <w:rPr>
          <w:rFonts w:ascii="Arial" w:hAnsi="Arial" w:cs="Arial"/>
          <w:lang w:val="en-US"/>
        </w:rPr>
        <w:lastRenderedPageBreak/>
        <w:t xml:space="preserve">Advantages of </w:t>
      </w:r>
      <w:proofErr w:type="gramStart"/>
      <w:r w:rsidRPr="007A68C8">
        <w:rPr>
          <w:rFonts w:ascii="Arial" w:hAnsi="Arial" w:cs="Arial"/>
          <w:lang w:val="en-US"/>
        </w:rPr>
        <w:t>Debentures :</w:t>
      </w:r>
      <w:proofErr w:type="gramEnd"/>
      <w:r w:rsidRPr="007A68C8">
        <w:rPr>
          <w:rFonts w:ascii="Arial" w:hAnsi="Arial" w:cs="Arial"/>
          <w:lang w:val="en-US"/>
        </w:rPr>
        <w:t xml:space="preserve"> For the investors they provide fixed income at lesser risk </w:t>
      </w:r>
    </w:p>
    <w:p w14:paraId="313DF86D" w14:textId="77777777" w:rsidR="007A68C8" w:rsidRPr="007A68C8" w:rsidRDefault="007A68C8" w:rsidP="007A68C8">
      <w:pPr>
        <w:ind w:left="360"/>
        <w:jc w:val="both"/>
        <w:rPr>
          <w:rFonts w:ascii="Arial" w:hAnsi="Arial" w:cs="Arial"/>
        </w:rPr>
      </w:pPr>
      <w:r w:rsidRPr="007A68C8">
        <w:rPr>
          <w:rFonts w:ascii="Arial" w:hAnsi="Arial" w:cs="Arial"/>
          <w:lang w:val="en-US"/>
        </w:rPr>
        <w:t xml:space="preserve">For the company, 1. they are less costly than equity, </w:t>
      </w:r>
      <w:proofErr w:type="gramStart"/>
      <w:r w:rsidRPr="007A68C8">
        <w:rPr>
          <w:rFonts w:ascii="Arial" w:hAnsi="Arial" w:cs="Arial"/>
          <w:lang w:val="en-US"/>
        </w:rPr>
        <w:t>2.doesnot</w:t>
      </w:r>
      <w:proofErr w:type="gramEnd"/>
      <w:r w:rsidRPr="007A68C8">
        <w:rPr>
          <w:rFonts w:ascii="Arial" w:hAnsi="Arial" w:cs="Arial"/>
          <w:lang w:val="en-US"/>
        </w:rPr>
        <w:t xml:space="preserve"> dilute stake and voting rights preserved 3.provide tax shield as the interest expended is deductible under tax 4. cash outflow predictable</w:t>
      </w:r>
    </w:p>
    <w:p w14:paraId="3170292B" w14:textId="77777777" w:rsidR="007A68C8" w:rsidRDefault="007A68C8" w:rsidP="007A68C8">
      <w:pPr>
        <w:ind w:left="360"/>
        <w:jc w:val="both"/>
        <w:rPr>
          <w:rFonts w:ascii="Arial" w:hAnsi="Arial" w:cs="Arial"/>
          <w:lang w:val="en-US"/>
        </w:rPr>
      </w:pPr>
      <w:proofErr w:type="gramStart"/>
      <w:r w:rsidRPr="007A68C8">
        <w:rPr>
          <w:rFonts w:ascii="Arial" w:hAnsi="Arial" w:cs="Arial"/>
          <w:lang w:val="en-US"/>
        </w:rPr>
        <w:t>Disadvantages :</w:t>
      </w:r>
      <w:proofErr w:type="gramEnd"/>
      <w:r w:rsidRPr="007A68C8">
        <w:rPr>
          <w:rFonts w:ascii="Arial" w:hAnsi="Arial" w:cs="Arial"/>
          <w:lang w:val="en-US"/>
        </w:rPr>
        <w:t xml:space="preserve"> 1. outflows may be a strain at times of tight liquidity 2. huge cash provision required at time of redemption 3. future borrowing may be hampered as debt equity ratio becomes unfavorable</w:t>
      </w:r>
    </w:p>
    <w:p w14:paraId="11B9A6D0" w14:textId="366817FE" w:rsidR="007A68C8" w:rsidRPr="007A68C8" w:rsidRDefault="007A68C8" w:rsidP="007A68C8">
      <w:pPr>
        <w:ind w:left="360"/>
        <w:jc w:val="both"/>
        <w:rPr>
          <w:rFonts w:ascii="Arial" w:hAnsi="Arial" w:cs="Arial"/>
        </w:rPr>
      </w:pPr>
      <w:r w:rsidRPr="007A68C8">
        <w:rPr>
          <w:rFonts w:ascii="Arial" w:hAnsi="Arial" w:cs="Arial"/>
          <w:b/>
          <w:bCs/>
          <w:lang w:val="en-US"/>
        </w:rPr>
        <w:t>Bonds</w:t>
      </w:r>
      <w:r>
        <w:rPr>
          <w:rFonts w:ascii="Arial" w:hAnsi="Arial" w:cs="Arial"/>
          <w:lang w:val="en-US"/>
        </w:rPr>
        <w:t>: Bonds are usually issued by the government. Different types of bonds are as follows:</w:t>
      </w:r>
    </w:p>
    <w:p w14:paraId="204379C5" w14:textId="77777777" w:rsidR="007A68C8" w:rsidRPr="007A68C8" w:rsidRDefault="007A68C8" w:rsidP="007A68C8">
      <w:pPr>
        <w:ind w:left="360"/>
        <w:jc w:val="both"/>
        <w:rPr>
          <w:rFonts w:ascii="Arial" w:hAnsi="Arial" w:cs="Arial"/>
        </w:rPr>
      </w:pPr>
      <w:r w:rsidRPr="007A68C8">
        <w:rPr>
          <w:rFonts w:ascii="Arial" w:hAnsi="Arial" w:cs="Arial"/>
          <w:lang w:val="en-US"/>
        </w:rPr>
        <w:t>Fixed Rate Bonds: This is the most popular type of corporate bond traded in most of the markets, paying a semiannual but fixed coupon over their life and the principal at the end of the maturity. </w:t>
      </w:r>
    </w:p>
    <w:p w14:paraId="57A32D4B" w14:textId="77777777" w:rsidR="007A68C8" w:rsidRPr="007A68C8" w:rsidRDefault="007A68C8" w:rsidP="007A68C8">
      <w:pPr>
        <w:ind w:left="360"/>
        <w:jc w:val="both"/>
        <w:rPr>
          <w:rFonts w:ascii="Arial" w:hAnsi="Arial" w:cs="Arial"/>
        </w:rPr>
      </w:pPr>
      <w:r w:rsidRPr="007A68C8">
        <w:rPr>
          <w:rFonts w:ascii="Arial" w:hAnsi="Arial" w:cs="Arial"/>
          <w:lang w:val="en-US"/>
        </w:rPr>
        <w:t xml:space="preserve">Floating Rate Bonds: These are the bonds, even if the coupon of which are usually paid </w:t>
      </w:r>
      <w:proofErr w:type="spellStart"/>
      <w:r w:rsidRPr="007A68C8">
        <w:rPr>
          <w:rFonts w:ascii="Arial" w:hAnsi="Arial" w:cs="Arial"/>
          <w:lang w:val="en-US"/>
        </w:rPr>
        <w:t>semi annually</w:t>
      </w:r>
      <w:proofErr w:type="spellEnd"/>
      <w:r w:rsidRPr="007A68C8">
        <w:rPr>
          <w:rFonts w:ascii="Arial" w:hAnsi="Arial" w:cs="Arial"/>
          <w:lang w:val="en-US"/>
        </w:rPr>
        <w:t xml:space="preserve">, the coupon rate is not fixed throughout the life and varies over time with reference to some benchmark rate. These types of bonds may have some Floor or Cap attached on it, representing that even if the benchmark rate changes by any value, the coupon rate even if floating but will always lie within the range of Floor and Cap rate. Some of the </w:t>
      </w:r>
      <w:proofErr w:type="spellStart"/>
      <w:proofErr w:type="gramStart"/>
      <w:r w:rsidRPr="007A68C8">
        <w:rPr>
          <w:rFonts w:ascii="Arial" w:hAnsi="Arial" w:cs="Arial"/>
          <w:lang w:val="en-US"/>
        </w:rPr>
        <w:t>well known</w:t>
      </w:r>
      <w:proofErr w:type="spellEnd"/>
      <w:proofErr w:type="gramEnd"/>
      <w:r w:rsidRPr="007A68C8">
        <w:rPr>
          <w:rFonts w:ascii="Arial" w:hAnsi="Arial" w:cs="Arial"/>
          <w:lang w:val="en-US"/>
        </w:rPr>
        <w:t xml:space="preserve"> benchmark rates used in Indian market are MIBOR, Call Rate, T-bill rate, PLR, etc.</w:t>
      </w:r>
    </w:p>
    <w:p w14:paraId="2A0D6EF6" w14:textId="77777777" w:rsidR="007A68C8" w:rsidRPr="007A68C8" w:rsidRDefault="007A68C8" w:rsidP="007A68C8">
      <w:pPr>
        <w:ind w:left="360"/>
        <w:jc w:val="both"/>
        <w:rPr>
          <w:rFonts w:ascii="Arial" w:hAnsi="Arial" w:cs="Arial"/>
        </w:rPr>
      </w:pPr>
      <w:r w:rsidRPr="007A68C8">
        <w:rPr>
          <w:rFonts w:ascii="Arial" w:hAnsi="Arial" w:cs="Arial"/>
          <w:lang w:val="en-US"/>
        </w:rPr>
        <w:t xml:space="preserve">Tax-saving infrastructure Bonds: In order to facilitate infrastructure financing through the bond route, some special types of </w:t>
      </w:r>
      <w:proofErr w:type="gramStart"/>
      <w:r w:rsidRPr="007A68C8">
        <w:rPr>
          <w:rFonts w:ascii="Arial" w:hAnsi="Arial" w:cs="Arial"/>
          <w:lang w:val="en-US"/>
        </w:rPr>
        <w:t>tax free</w:t>
      </w:r>
      <w:proofErr w:type="gramEnd"/>
      <w:r w:rsidRPr="007A68C8">
        <w:rPr>
          <w:rFonts w:ascii="Arial" w:hAnsi="Arial" w:cs="Arial"/>
          <w:lang w:val="en-US"/>
        </w:rPr>
        <w:t xml:space="preserve"> bonds, issued by some infrastructure companies, are offered to the investors.</w:t>
      </w:r>
    </w:p>
    <w:p w14:paraId="6066AF9A" w14:textId="77777777" w:rsidR="007A68C8" w:rsidRDefault="007A68C8" w:rsidP="007A68C8">
      <w:pPr>
        <w:ind w:left="360"/>
        <w:jc w:val="both"/>
        <w:rPr>
          <w:rFonts w:ascii="Arial" w:hAnsi="Arial" w:cs="Arial"/>
          <w:lang w:val="en-US"/>
        </w:rPr>
      </w:pPr>
      <w:r w:rsidRPr="007A68C8">
        <w:rPr>
          <w:rFonts w:ascii="Arial" w:hAnsi="Arial" w:cs="Arial"/>
          <w:lang w:val="en-US"/>
        </w:rPr>
        <w:t xml:space="preserve">Zero Coupon Bonds: Zero Coupon Bonds (ZCBs) are issued at a discount to their face value and the principal/face value is repaid to the holders at the time of maturity. Instead of paying any periodic coupons, the ZCB holder gets the price discount in the beginning itself. Therefore, ZCBs are alternatively known as Deep Discount Bonds. Treasury Bills and CMBs are example of </w:t>
      </w:r>
      <w:proofErr w:type="gramStart"/>
      <w:r w:rsidRPr="007A68C8">
        <w:rPr>
          <w:rFonts w:ascii="Arial" w:hAnsi="Arial" w:cs="Arial"/>
          <w:lang w:val="en-US"/>
        </w:rPr>
        <w:t>Zero Coupon</w:t>
      </w:r>
      <w:proofErr w:type="gramEnd"/>
      <w:r w:rsidRPr="007A68C8">
        <w:rPr>
          <w:rFonts w:ascii="Arial" w:hAnsi="Arial" w:cs="Arial"/>
          <w:lang w:val="en-US"/>
        </w:rPr>
        <w:t xml:space="preserve"> Bonds.</w:t>
      </w:r>
    </w:p>
    <w:p w14:paraId="0757BC86" w14:textId="77777777" w:rsidR="00B1398C" w:rsidRPr="00B1398C" w:rsidRDefault="00B1398C" w:rsidP="00B1398C">
      <w:pPr>
        <w:ind w:left="360"/>
        <w:jc w:val="both"/>
        <w:rPr>
          <w:rFonts w:ascii="Arial" w:hAnsi="Arial" w:cs="Arial"/>
        </w:rPr>
      </w:pPr>
      <w:r w:rsidRPr="00B1398C">
        <w:rPr>
          <w:rFonts w:ascii="Arial" w:hAnsi="Arial" w:cs="Arial"/>
          <w:b/>
          <w:bCs/>
          <w:lang w:val="en-US"/>
        </w:rPr>
        <w:t>Municipal</w:t>
      </w:r>
      <w:r w:rsidRPr="00B1398C">
        <w:rPr>
          <w:rFonts w:ascii="Arial" w:hAnsi="Arial" w:cs="Arial"/>
          <w:lang w:val="en-US"/>
        </w:rPr>
        <w:t xml:space="preserve"> </w:t>
      </w:r>
      <w:proofErr w:type="gramStart"/>
      <w:r w:rsidRPr="00B1398C">
        <w:rPr>
          <w:rFonts w:ascii="Arial" w:hAnsi="Arial" w:cs="Arial"/>
          <w:b/>
          <w:bCs/>
          <w:lang w:val="en-US"/>
        </w:rPr>
        <w:t>Bonds</w:t>
      </w:r>
      <w:r w:rsidRPr="00B1398C">
        <w:rPr>
          <w:rFonts w:ascii="Arial" w:hAnsi="Arial" w:cs="Arial"/>
          <w:lang w:val="en-US"/>
        </w:rPr>
        <w:t xml:space="preserve"> :</w:t>
      </w:r>
      <w:proofErr w:type="gramEnd"/>
      <w:r w:rsidRPr="00B1398C">
        <w:rPr>
          <w:rFonts w:ascii="Arial" w:hAnsi="Arial" w:cs="Arial"/>
          <w:lang w:val="en-US"/>
        </w:rPr>
        <w:t xml:space="preserve"> A Municipal Bond is a debt instrument issued by municipal corporations or associated bodies in India to finance socio-economic development projects. The Municipal Bonds come with a maturity period of three years. The return on these bonds is provided either from property and professional tax collected or from revenues generated from specific projects, or both. Nine Indian cities have issued Municipal Bonds till 2020. </w:t>
      </w:r>
      <w:proofErr w:type="spellStart"/>
      <w:r w:rsidRPr="00B1398C">
        <w:rPr>
          <w:rFonts w:ascii="Arial" w:hAnsi="Arial" w:cs="Arial"/>
          <w:b/>
          <w:bCs/>
          <w:lang w:val="en-US"/>
        </w:rPr>
        <w:t>E.g</w:t>
      </w:r>
      <w:proofErr w:type="spellEnd"/>
      <w:r w:rsidRPr="00B1398C">
        <w:rPr>
          <w:rFonts w:ascii="Arial" w:hAnsi="Arial" w:cs="Arial"/>
          <w:b/>
          <w:bCs/>
          <w:lang w:val="en-US"/>
        </w:rPr>
        <w:t xml:space="preserve"> </w:t>
      </w:r>
      <w:r w:rsidRPr="00B1398C">
        <w:rPr>
          <w:rFonts w:ascii="Arial" w:hAnsi="Arial" w:cs="Arial"/>
          <w:lang w:val="en-US"/>
        </w:rPr>
        <w:t xml:space="preserve">Amravati </w:t>
      </w:r>
      <w:proofErr w:type="gramStart"/>
      <w:r w:rsidRPr="00B1398C">
        <w:rPr>
          <w:rFonts w:ascii="Arial" w:hAnsi="Arial" w:cs="Arial"/>
          <w:lang w:val="en-US"/>
        </w:rPr>
        <w:t>( Rs</w:t>
      </w:r>
      <w:proofErr w:type="gramEnd"/>
      <w:r w:rsidRPr="00B1398C">
        <w:rPr>
          <w:rFonts w:ascii="Arial" w:hAnsi="Arial" w:cs="Arial"/>
          <w:lang w:val="en-US"/>
        </w:rPr>
        <w:t xml:space="preserve"> 2000 crores), Vishakhapatnam, Ahmedabad, Surat, Bhopal, Indore, Pune, Hyderabad, Lucknow (listed on BSE on Dec 2020 for Rs 200 crores)</w:t>
      </w:r>
    </w:p>
    <w:p w14:paraId="21BAF790" w14:textId="4E4A96FF" w:rsidR="00EC7AD4" w:rsidRPr="00EC7AD4" w:rsidRDefault="007A68C8" w:rsidP="00EC7AD4">
      <w:pPr>
        <w:ind w:left="360"/>
        <w:jc w:val="both"/>
        <w:rPr>
          <w:rFonts w:ascii="Arial" w:hAnsi="Arial" w:cs="Arial"/>
        </w:rPr>
      </w:pPr>
      <w:r w:rsidRPr="007A68C8">
        <w:rPr>
          <w:rFonts w:ascii="Arial" w:hAnsi="Arial" w:cs="Arial"/>
          <w:b/>
          <w:bCs/>
          <w:lang w:val="en-US"/>
        </w:rPr>
        <w:t>SDLs</w:t>
      </w:r>
      <w:r w:rsidRPr="007A68C8">
        <w:rPr>
          <w:rFonts w:ascii="Arial" w:hAnsi="Arial" w:cs="Arial"/>
          <w:lang w:val="en-US"/>
        </w:rPr>
        <w:t xml:space="preserve"> (State Development Loans):</w:t>
      </w:r>
      <w:r w:rsidR="00EC7AD4" w:rsidRPr="00EC7AD4">
        <w:rPr>
          <w:rFonts w:eastAsiaTheme="minorEastAsia" w:hAnsi="Trebuchet MS"/>
          <w:color w:val="404040" w:themeColor="text1" w:themeTint="BF"/>
          <w:kern w:val="24"/>
          <w:sz w:val="40"/>
          <w:szCs w:val="40"/>
          <w:lang w:val="en-US"/>
        </w:rPr>
        <w:t xml:space="preserve"> </w:t>
      </w:r>
      <w:r w:rsidR="00EC7AD4" w:rsidRPr="00EC7AD4">
        <w:rPr>
          <w:rFonts w:ascii="Arial" w:hAnsi="Arial" w:cs="Arial"/>
          <w:lang w:val="en-US"/>
        </w:rPr>
        <w:t xml:space="preserve">In terms of Sec. 21A (1) (b) of the Reserve Bank of India Act, 1934, the RBI may, by agreement with any State Government undertake the management of the public debt of that State. Accordingly, the RBI has entered into agreements with 29 State Governments and one Union Territory (UT of Puducherry) for management of their public debt. Under Article 293(3) of the Constitution of India (Under section 48A of Union territories Act, in case of Union Territory), a State Government </w:t>
      </w:r>
      <w:proofErr w:type="gramStart"/>
      <w:r w:rsidR="00EC7AD4" w:rsidRPr="00EC7AD4">
        <w:rPr>
          <w:rFonts w:ascii="Arial" w:hAnsi="Arial" w:cs="Arial"/>
          <w:lang w:val="en-US"/>
        </w:rPr>
        <w:t>has to</w:t>
      </w:r>
      <w:proofErr w:type="gramEnd"/>
      <w:r w:rsidR="00EC7AD4" w:rsidRPr="00EC7AD4">
        <w:rPr>
          <w:rFonts w:ascii="Arial" w:hAnsi="Arial" w:cs="Arial"/>
          <w:lang w:val="en-US"/>
        </w:rPr>
        <w:t xml:space="preserve"> obtain the permission of the Central Government for any borrowing as long as there is any outstanding loan that the State Government may have from the Centre.</w:t>
      </w:r>
    </w:p>
    <w:p w14:paraId="1CB80B68" w14:textId="77777777" w:rsidR="00EC7AD4" w:rsidRPr="00EC7AD4" w:rsidRDefault="00EC7AD4" w:rsidP="00EC7AD4">
      <w:pPr>
        <w:ind w:left="360"/>
        <w:jc w:val="both"/>
        <w:rPr>
          <w:rFonts w:ascii="Arial" w:hAnsi="Arial" w:cs="Arial"/>
        </w:rPr>
      </w:pPr>
      <w:r w:rsidRPr="00EC7AD4">
        <w:rPr>
          <w:rFonts w:ascii="Arial" w:hAnsi="Arial" w:cs="Arial"/>
          <w:lang w:val="en-US"/>
        </w:rPr>
        <w:lastRenderedPageBreak/>
        <w:t>Market borrowings are raised by the RBI on behalf of the State Governments to the extent of the allocations under the Market Borrowing Program as approved by the Ministry of Finance in consultation with the Planning Commission.</w:t>
      </w:r>
    </w:p>
    <w:p w14:paraId="5B9A622E" w14:textId="77777777" w:rsidR="00EC7AD4" w:rsidRPr="00EC7AD4" w:rsidRDefault="00EC7AD4" w:rsidP="00EC7AD4">
      <w:pPr>
        <w:ind w:left="360"/>
        <w:jc w:val="both"/>
        <w:rPr>
          <w:rFonts w:ascii="Arial" w:hAnsi="Arial" w:cs="Arial"/>
        </w:rPr>
      </w:pPr>
      <w:r w:rsidRPr="00EC7AD4">
        <w:rPr>
          <w:rFonts w:ascii="Arial" w:hAnsi="Arial" w:cs="Arial"/>
          <w:lang w:val="en-US"/>
        </w:rPr>
        <w:t xml:space="preserve">RBI, in consultation with State Governments announces, the indicative quantum of borrowing on a quarterly basis. All State Governments have issued General notifications which specify the terms and conditions for issue of SDL. Before every auction, respective state governments issue specific notifications indicating details of the securities being issued in the </w:t>
      </w:r>
      <w:proofErr w:type="gramStart"/>
      <w:r w:rsidRPr="00EC7AD4">
        <w:rPr>
          <w:rFonts w:ascii="Arial" w:hAnsi="Arial" w:cs="Arial"/>
          <w:lang w:val="en-US"/>
        </w:rPr>
        <w:t>particular auction</w:t>
      </w:r>
      <w:proofErr w:type="gramEnd"/>
      <w:r w:rsidRPr="00EC7AD4">
        <w:rPr>
          <w:rFonts w:ascii="Arial" w:hAnsi="Arial" w:cs="Arial"/>
          <w:lang w:val="en-US"/>
        </w:rPr>
        <w:t xml:space="preserve">. RBI places a press release on its website </w:t>
      </w:r>
      <w:proofErr w:type="gramStart"/>
      <w:r w:rsidRPr="00EC7AD4">
        <w:rPr>
          <w:rFonts w:ascii="Arial" w:hAnsi="Arial" w:cs="Arial"/>
          <w:lang w:val="en-US"/>
        </w:rPr>
        <w:t>and also</w:t>
      </w:r>
      <w:proofErr w:type="gramEnd"/>
      <w:r w:rsidRPr="00EC7AD4">
        <w:rPr>
          <w:rFonts w:ascii="Arial" w:hAnsi="Arial" w:cs="Arial"/>
          <w:lang w:val="en-US"/>
        </w:rPr>
        <w:t xml:space="preserve"> issues advertisements in leading English and vernacular newspapers of the respective states.</w:t>
      </w:r>
    </w:p>
    <w:p w14:paraId="4CB570E7" w14:textId="77777777" w:rsidR="00EC7AD4" w:rsidRPr="00EC7AD4" w:rsidRDefault="00EC7AD4" w:rsidP="00EC7AD4">
      <w:pPr>
        <w:ind w:left="360"/>
        <w:jc w:val="both"/>
        <w:rPr>
          <w:rFonts w:ascii="Arial" w:hAnsi="Arial" w:cs="Arial"/>
        </w:rPr>
      </w:pPr>
      <w:r w:rsidRPr="00EC7AD4">
        <w:rPr>
          <w:rFonts w:ascii="Arial" w:hAnsi="Arial" w:cs="Arial"/>
          <w:lang w:val="en-US"/>
        </w:rPr>
        <w:t>Currently, SDL auctions are held generally on Tuesdays every week. As in case of Central Government securities, auction is held on the E-Kuber Platform. 10% of the notified amount is reserved for the retail investors under the non-competitive bidding.</w:t>
      </w:r>
    </w:p>
    <w:p w14:paraId="7A819844" w14:textId="67B920DD" w:rsidR="007A68C8" w:rsidRPr="007A68C8" w:rsidRDefault="007A68C8" w:rsidP="007A68C8">
      <w:pPr>
        <w:ind w:left="360"/>
        <w:jc w:val="both"/>
        <w:rPr>
          <w:rFonts w:ascii="Arial" w:hAnsi="Arial" w:cs="Arial"/>
        </w:rPr>
      </w:pPr>
      <w:r>
        <w:rPr>
          <w:rFonts w:ascii="Arial" w:hAnsi="Arial" w:cs="Arial"/>
        </w:rPr>
        <w:t xml:space="preserve">      </w:t>
      </w:r>
      <w:r w:rsidRPr="007A68C8">
        <w:rPr>
          <w:rFonts w:ascii="Arial" w:hAnsi="Arial" w:cs="Arial"/>
          <w:lang w:val="en-US"/>
        </w:rPr>
        <w:t xml:space="preserve">In India, Government securities market is the overwhelming part of the overall debt market, in terms of both outstanding securities, and trading volumes. The dominance of the Government securities in the secondary market is even more as it accounts for more than 90% of the transactions. While the Reserve Bank of India (RBI) regulates the issuance of government securities, corporate debt securities fall under the regulatory purview of Securities and Exchange Board of India (SEBI). Coordination with Securities and Exchange Board of India (SEBI) is ensured both at a policy level and at operational level. In particular, at a policy level, coordination is ensured through a </w:t>
      </w:r>
      <w:proofErr w:type="gramStart"/>
      <w:r w:rsidRPr="007A68C8">
        <w:rPr>
          <w:rFonts w:ascii="Arial" w:hAnsi="Arial" w:cs="Arial"/>
          <w:lang w:val="en-US"/>
        </w:rPr>
        <w:t>High Level</w:t>
      </w:r>
      <w:proofErr w:type="gramEnd"/>
      <w:r w:rsidRPr="007A68C8">
        <w:rPr>
          <w:rFonts w:ascii="Arial" w:hAnsi="Arial" w:cs="Arial"/>
          <w:lang w:val="en-US"/>
        </w:rPr>
        <w:t xml:space="preserve"> Committee on Capital Markets presided by Governor, RBI, and consisting of Chairman, SEBI, Chairman, Insurance Regulatory and Development Authority (IRDA) and Finance Secretary, Government of India. The Deputy Governor of RBI is on the Board of Directors of SEBI. Further, the Standing RBI – SEBI Technical Committee consisting of officials from RBI and SEBI assists the HLCC at an operational level. Currently, amongst other things, RBI and SEBI are working together to devise a regulating mechanism for the issuers of private placements which will address issues of quality, transparency, end-use of funds and listing of such bonds.</w:t>
      </w:r>
    </w:p>
    <w:p w14:paraId="58BB71E5" w14:textId="77777777" w:rsidR="007A68C8" w:rsidRDefault="007A68C8" w:rsidP="007A68C8">
      <w:pPr>
        <w:ind w:left="360"/>
        <w:jc w:val="both"/>
        <w:rPr>
          <w:rFonts w:ascii="Arial" w:hAnsi="Arial" w:cs="Arial"/>
          <w:lang w:val="en-US"/>
        </w:rPr>
      </w:pPr>
      <w:r w:rsidRPr="007A68C8">
        <w:rPr>
          <w:rFonts w:ascii="Arial" w:hAnsi="Arial" w:cs="Arial"/>
          <w:lang w:val="en-US"/>
        </w:rPr>
        <w:t>The trading of government securities on the Stock exchanges is currently through negotiated dealing using members of Bombay Stock Exchange (BSE)/National Stock Exchange (NSE) and these trades are required to be reported to the exchange. All the 23 stock exchanges in the country provide facility for trading in corporate debt instruments. The bulk of the corporate bonds, being privately placed, are, however, not listed on stock exchanges. Two Depositories, National Securities Depository Limited (NSDL) and Central Depository Services (India) Limited (CDSL) maintain records of holding of securities in a dematerialized form. Records of holding of government securities for wholesale dealers like banks/PDs and other financial institutions are maintained at the RBI.</w:t>
      </w:r>
    </w:p>
    <w:tbl>
      <w:tblPr>
        <w:tblW w:w="9062" w:type="dxa"/>
        <w:tblCellMar>
          <w:left w:w="0" w:type="dxa"/>
          <w:right w:w="0" w:type="dxa"/>
        </w:tblCellMar>
        <w:tblLook w:val="0420" w:firstRow="1" w:lastRow="0" w:firstColumn="0" w:lastColumn="0" w:noHBand="0" w:noVBand="1"/>
      </w:tblPr>
      <w:tblGrid>
        <w:gridCol w:w="1859"/>
        <w:gridCol w:w="2114"/>
        <w:gridCol w:w="1734"/>
        <w:gridCol w:w="3355"/>
      </w:tblGrid>
      <w:tr w:rsidR="00984E97" w:rsidRPr="00984E97" w14:paraId="2658FF65" w14:textId="77777777" w:rsidTr="00984E97">
        <w:trPr>
          <w:trHeight w:val="1157"/>
        </w:trPr>
        <w:tc>
          <w:tcPr>
            <w:tcW w:w="1859"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14:paraId="2E93B204" w14:textId="77777777" w:rsidR="00984E97" w:rsidRPr="00984E97" w:rsidRDefault="00984E97" w:rsidP="00984E97">
            <w:pPr>
              <w:ind w:left="360"/>
              <w:jc w:val="both"/>
              <w:rPr>
                <w:rFonts w:ascii="Arial" w:hAnsi="Arial" w:cs="Arial"/>
              </w:rPr>
            </w:pPr>
            <w:r w:rsidRPr="00984E97">
              <w:rPr>
                <w:rFonts w:ascii="Arial" w:hAnsi="Arial" w:cs="Arial"/>
                <w:b/>
                <w:bCs/>
                <w:lang w:val="en-US"/>
              </w:rPr>
              <w:t>Issuer</w:t>
            </w:r>
          </w:p>
        </w:tc>
        <w:tc>
          <w:tcPr>
            <w:tcW w:w="2114"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14:paraId="73210922" w14:textId="77777777" w:rsidR="00984E97" w:rsidRPr="00984E97" w:rsidRDefault="00984E97" w:rsidP="00984E97">
            <w:pPr>
              <w:ind w:left="360"/>
              <w:jc w:val="both"/>
              <w:rPr>
                <w:rFonts w:ascii="Arial" w:hAnsi="Arial" w:cs="Arial"/>
              </w:rPr>
            </w:pPr>
            <w:r w:rsidRPr="00984E97">
              <w:rPr>
                <w:rFonts w:ascii="Arial" w:hAnsi="Arial" w:cs="Arial"/>
                <w:b/>
                <w:bCs/>
                <w:lang w:val="en-US"/>
              </w:rPr>
              <w:t>Instrument</w:t>
            </w:r>
          </w:p>
        </w:tc>
        <w:tc>
          <w:tcPr>
            <w:tcW w:w="1734"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14:paraId="55685AB5" w14:textId="77777777" w:rsidR="00984E97" w:rsidRPr="00984E97" w:rsidRDefault="00984E97" w:rsidP="00984E97">
            <w:pPr>
              <w:ind w:left="360"/>
              <w:jc w:val="both"/>
              <w:rPr>
                <w:rFonts w:ascii="Arial" w:hAnsi="Arial" w:cs="Arial"/>
              </w:rPr>
            </w:pPr>
            <w:r w:rsidRPr="00984E97">
              <w:rPr>
                <w:rFonts w:ascii="Arial" w:hAnsi="Arial" w:cs="Arial"/>
                <w:b/>
                <w:bCs/>
                <w:lang w:val="en-US"/>
              </w:rPr>
              <w:t>Maturity</w:t>
            </w:r>
          </w:p>
        </w:tc>
        <w:tc>
          <w:tcPr>
            <w:tcW w:w="3355" w:type="dxa"/>
            <w:tcBorders>
              <w:top w:val="single" w:sz="8" w:space="0" w:color="FFFFFF"/>
              <w:left w:val="single" w:sz="8" w:space="0" w:color="FFFFFF"/>
              <w:bottom w:val="single" w:sz="24" w:space="0" w:color="FFFFFF"/>
              <w:right w:val="single" w:sz="8" w:space="0" w:color="FFFFFF"/>
            </w:tcBorders>
            <w:shd w:val="clear" w:color="auto" w:fill="5FCBEF"/>
            <w:tcMar>
              <w:top w:w="72" w:type="dxa"/>
              <w:left w:w="144" w:type="dxa"/>
              <w:bottom w:w="72" w:type="dxa"/>
              <w:right w:w="144" w:type="dxa"/>
            </w:tcMar>
            <w:hideMark/>
          </w:tcPr>
          <w:p w14:paraId="1F6CA740" w14:textId="77777777" w:rsidR="00984E97" w:rsidRPr="00984E97" w:rsidRDefault="00984E97" w:rsidP="00984E97">
            <w:pPr>
              <w:ind w:left="360"/>
              <w:jc w:val="both"/>
              <w:rPr>
                <w:rFonts w:ascii="Arial" w:hAnsi="Arial" w:cs="Arial"/>
              </w:rPr>
            </w:pPr>
            <w:r w:rsidRPr="00984E97">
              <w:rPr>
                <w:rFonts w:ascii="Arial" w:hAnsi="Arial" w:cs="Arial"/>
                <w:b/>
                <w:bCs/>
                <w:lang w:val="en-US"/>
              </w:rPr>
              <w:t>Major Investors</w:t>
            </w:r>
          </w:p>
        </w:tc>
      </w:tr>
      <w:tr w:rsidR="00984E97" w:rsidRPr="00984E97" w14:paraId="6CF6DEE4" w14:textId="77777777" w:rsidTr="00984E97">
        <w:trPr>
          <w:trHeight w:val="1157"/>
        </w:trPr>
        <w:tc>
          <w:tcPr>
            <w:tcW w:w="1859" w:type="dxa"/>
            <w:tcBorders>
              <w:top w:val="single" w:sz="24" w:space="0" w:color="FFFFFF"/>
              <w:left w:val="single" w:sz="8" w:space="0" w:color="FFFFFF"/>
              <w:bottom w:val="single" w:sz="8" w:space="0" w:color="FFFFFF"/>
              <w:right w:val="single" w:sz="8" w:space="0" w:color="FFFFFF"/>
            </w:tcBorders>
            <w:shd w:val="clear" w:color="auto" w:fill="D2ECF9"/>
            <w:tcMar>
              <w:top w:w="30" w:type="dxa"/>
              <w:left w:w="30" w:type="dxa"/>
              <w:bottom w:w="30" w:type="dxa"/>
              <w:right w:w="30" w:type="dxa"/>
            </w:tcMar>
            <w:hideMark/>
          </w:tcPr>
          <w:p w14:paraId="3F4A818F" w14:textId="77777777" w:rsidR="00984E97" w:rsidRPr="00984E97" w:rsidRDefault="00984E97" w:rsidP="00984E97">
            <w:pPr>
              <w:ind w:left="360"/>
              <w:jc w:val="both"/>
              <w:rPr>
                <w:rFonts w:ascii="Arial" w:hAnsi="Arial" w:cs="Arial"/>
              </w:rPr>
            </w:pPr>
            <w:r w:rsidRPr="00984E97">
              <w:rPr>
                <w:rFonts w:ascii="Arial" w:hAnsi="Arial" w:cs="Arial"/>
                <w:lang w:val="en-US"/>
              </w:rPr>
              <w:t>Central Government</w:t>
            </w:r>
          </w:p>
        </w:tc>
        <w:tc>
          <w:tcPr>
            <w:tcW w:w="2114" w:type="dxa"/>
            <w:tcBorders>
              <w:top w:val="single" w:sz="24" w:space="0" w:color="FFFFFF"/>
              <w:left w:val="single" w:sz="8" w:space="0" w:color="FFFFFF"/>
              <w:bottom w:val="single" w:sz="8" w:space="0" w:color="FFFFFF"/>
              <w:right w:val="single" w:sz="8" w:space="0" w:color="FFFFFF"/>
            </w:tcBorders>
            <w:shd w:val="clear" w:color="auto" w:fill="D2ECF9"/>
            <w:tcMar>
              <w:top w:w="30" w:type="dxa"/>
              <w:left w:w="30" w:type="dxa"/>
              <w:bottom w:w="30" w:type="dxa"/>
              <w:right w:w="30" w:type="dxa"/>
            </w:tcMar>
            <w:hideMark/>
          </w:tcPr>
          <w:p w14:paraId="285929CF" w14:textId="77777777" w:rsidR="00984E97" w:rsidRPr="00984E97" w:rsidRDefault="00984E97" w:rsidP="00984E97">
            <w:pPr>
              <w:ind w:left="360"/>
              <w:jc w:val="both"/>
              <w:rPr>
                <w:rFonts w:ascii="Arial" w:hAnsi="Arial" w:cs="Arial"/>
              </w:rPr>
            </w:pPr>
            <w:r w:rsidRPr="00984E97">
              <w:rPr>
                <w:rFonts w:ascii="Arial" w:hAnsi="Arial" w:cs="Arial"/>
                <w:lang w:val="en-US"/>
              </w:rPr>
              <w:t>Dated Securities</w:t>
            </w:r>
          </w:p>
          <w:p w14:paraId="7FA5C263" w14:textId="77777777" w:rsidR="00984E97" w:rsidRPr="00984E97" w:rsidRDefault="00984E97" w:rsidP="00984E97">
            <w:pPr>
              <w:ind w:left="360"/>
              <w:jc w:val="both"/>
              <w:rPr>
                <w:rFonts w:ascii="Arial" w:hAnsi="Arial" w:cs="Arial"/>
              </w:rPr>
            </w:pPr>
            <w:r w:rsidRPr="00984E97">
              <w:rPr>
                <w:rFonts w:ascii="Arial" w:hAnsi="Arial" w:cs="Arial"/>
                <w:lang w:val="en-US"/>
              </w:rPr>
              <w:t>Treasury Bills</w:t>
            </w:r>
          </w:p>
        </w:tc>
        <w:tc>
          <w:tcPr>
            <w:tcW w:w="1734" w:type="dxa"/>
            <w:tcBorders>
              <w:top w:val="single" w:sz="24"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151F4827" w14:textId="77777777" w:rsidR="00984E97" w:rsidRPr="00984E97" w:rsidRDefault="00984E97" w:rsidP="00984E97">
            <w:pPr>
              <w:ind w:left="360"/>
              <w:jc w:val="both"/>
              <w:rPr>
                <w:rFonts w:ascii="Arial" w:hAnsi="Arial" w:cs="Arial"/>
              </w:rPr>
            </w:pPr>
            <w:r w:rsidRPr="00984E97">
              <w:rPr>
                <w:rFonts w:ascii="Arial" w:hAnsi="Arial" w:cs="Arial"/>
                <w:lang w:val="en-US"/>
              </w:rPr>
              <w:t>2-30 years</w:t>
            </w:r>
          </w:p>
          <w:p w14:paraId="6C1FC121" w14:textId="77777777" w:rsidR="00984E97" w:rsidRPr="00984E97" w:rsidRDefault="00984E97" w:rsidP="00984E97">
            <w:pPr>
              <w:ind w:left="360"/>
              <w:jc w:val="both"/>
              <w:rPr>
                <w:rFonts w:ascii="Arial" w:hAnsi="Arial" w:cs="Arial"/>
              </w:rPr>
            </w:pPr>
            <w:r w:rsidRPr="00984E97">
              <w:rPr>
                <w:rFonts w:ascii="Arial" w:hAnsi="Arial" w:cs="Arial"/>
                <w:lang w:val="en-US"/>
              </w:rPr>
              <w:t>91/364 days</w:t>
            </w:r>
          </w:p>
        </w:tc>
        <w:tc>
          <w:tcPr>
            <w:tcW w:w="3355" w:type="dxa"/>
            <w:tcBorders>
              <w:top w:val="single" w:sz="24"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1940FB56" w14:textId="77777777" w:rsidR="00984E97" w:rsidRPr="00984E97" w:rsidRDefault="00984E97" w:rsidP="00984E97">
            <w:pPr>
              <w:ind w:left="360"/>
              <w:jc w:val="both"/>
              <w:rPr>
                <w:rFonts w:ascii="Arial" w:hAnsi="Arial" w:cs="Arial"/>
              </w:rPr>
            </w:pPr>
            <w:r w:rsidRPr="00984E97">
              <w:rPr>
                <w:rFonts w:ascii="Arial" w:hAnsi="Arial" w:cs="Arial"/>
                <w:lang w:val="en-US"/>
              </w:rPr>
              <w:t>RBI, Banks, Insurance Companies, Provident Funds, Mutual Funds, PDs, Individuals</w:t>
            </w:r>
          </w:p>
        </w:tc>
      </w:tr>
      <w:tr w:rsidR="00984E97" w:rsidRPr="00984E97" w14:paraId="1EEA5110" w14:textId="77777777" w:rsidTr="00984E97">
        <w:trPr>
          <w:trHeight w:val="1157"/>
        </w:trPr>
        <w:tc>
          <w:tcPr>
            <w:tcW w:w="1859"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55D1CA10" w14:textId="77777777" w:rsidR="00984E97" w:rsidRPr="00984E97" w:rsidRDefault="00984E97" w:rsidP="00984E97">
            <w:pPr>
              <w:ind w:left="360"/>
              <w:jc w:val="both"/>
              <w:rPr>
                <w:rFonts w:ascii="Arial" w:hAnsi="Arial" w:cs="Arial"/>
              </w:rPr>
            </w:pPr>
            <w:r w:rsidRPr="00984E97">
              <w:rPr>
                <w:rFonts w:ascii="Arial" w:hAnsi="Arial" w:cs="Arial"/>
                <w:lang w:val="en-US"/>
              </w:rPr>
              <w:lastRenderedPageBreak/>
              <w:t>State Government</w:t>
            </w:r>
          </w:p>
        </w:tc>
        <w:tc>
          <w:tcPr>
            <w:tcW w:w="2114"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6C419DC1" w14:textId="77777777" w:rsidR="00984E97" w:rsidRPr="00984E97" w:rsidRDefault="00984E97" w:rsidP="00984E97">
            <w:pPr>
              <w:ind w:left="360"/>
              <w:jc w:val="both"/>
              <w:rPr>
                <w:rFonts w:ascii="Arial" w:hAnsi="Arial" w:cs="Arial"/>
              </w:rPr>
            </w:pPr>
            <w:r w:rsidRPr="00984E97">
              <w:rPr>
                <w:rFonts w:ascii="Arial" w:hAnsi="Arial" w:cs="Arial"/>
                <w:lang w:val="en-US"/>
              </w:rPr>
              <w:t>Dated Securities</w:t>
            </w:r>
          </w:p>
        </w:tc>
        <w:tc>
          <w:tcPr>
            <w:tcW w:w="1734"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2C4DDC11" w14:textId="77777777" w:rsidR="00984E97" w:rsidRPr="00984E97" w:rsidRDefault="00984E97" w:rsidP="00984E97">
            <w:pPr>
              <w:ind w:left="360"/>
              <w:jc w:val="both"/>
              <w:rPr>
                <w:rFonts w:ascii="Arial" w:hAnsi="Arial" w:cs="Arial"/>
              </w:rPr>
            </w:pPr>
            <w:r w:rsidRPr="00984E97">
              <w:rPr>
                <w:rFonts w:ascii="Arial" w:hAnsi="Arial" w:cs="Arial"/>
                <w:lang w:val="en-US"/>
              </w:rPr>
              <w:t>5-10 years</w:t>
            </w:r>
          </w:p>
        </w:tc>
        <w:tc>
          <w:tcPr>
            <w:tcW w:w="3355"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420041D5" w14:textId="77777777" w:rsidR="00984E97" w:rsidRPr="00984E97" w:rsidRDefault="00984E97" w:rsidP="00984E97">
            <w:pPr>
              <w:ind w:left="360"/>
              <w:jc w:val="both"/>
              <w:rPr>
                <w:rFonts w:ascii="Arial" w:hAnsi="Arial" w:cs="Arial"/>
              </w:rPr>
            </w:pPr>
            <w:r w:rsidRPr="00984E97">
              <w:rPr>
                <w:rFonts w:ascii="Arial" w:hAnsi="Arial" w:cs="Arial"/>
                <w:lang w:val="en-US"/>
              </w:rPr>
              <w:t>Banks, Insurance Companies, Provident Funds</w:t>
            </w:r>
          </w:p>
        </w:tc>
      </w:tr>
      <w:tr w:rsidR="00984E97" w:rsidRPr="00984E97" w14:paraId="53102946" w14:textId="77777777" w:rsidTr="00984E97">
        <w:trPr>
          <w:trHeight w:val="1157"/>
        </w:trPr>
        <w:tc>
          <w:tcPr>
            <w:tcW w:w="1859"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1E348DA2" w14:textId="77777777" w:rsidR="00984E97" w:rsidRPr="00984E97" w:rsidRDefault="00984E97" w:rsidP="00984E97">
            <w:pPr>
              <w:ind w:left="360"/>
              <w:jc w:val="both"/>
              <w:rPr>
                <w:rFonts w:ascii="Arial" w:hAnsi="Arial" w:cs="Arial"/>
              </w:rPr>
            </w:pPr>
            <w:r w:rsidRPr="00984E97">
              <w:rPr>
                <w:rFonts w:ascii="Arial" w:hAnsi="Arial" w:cs="Arial"/>
                <w:lang w:val="en-US"/>
              </w:rPr>
              <w:t>PSUs (Centre and States)</w:t>
            </w:r>
          </w:p>
        </w:tc>
        <w:tc>
          <w:tcPr>
            <w:tcW w:w="2114"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612A49E1" w14:textId="77777777" w:rsidR="00984E97" w:rsidRPr="00984E97" w:rsidRDefault="00984E97" w:rsidP="00984E97">
            <w:pPr>
              <w:ind w:left="360"/>
              <w:jc w:val="both"/>
              <w:rPr>
                <w:rFonts w:ascii="Arial" w:hAnsi="Arial" w:cs="Arial"/>
              </w:rPr>
            </w:pPr>
            <w:r w:rsidRPr="00984E97">
              <w:rPr>
                <w:rFonts w:ascii="Arial" w:hAnsi="Arial" w:cs="Arial"/>
                <w:lang w:val="en-US"/>
              </w:rPr>
              <w:t>Bonds</w:t>
            </w:r>
          </w:p>
        </w:tc>
        <w:tc>
          <w:tcPr>
            <w:tcW w:w="1734"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2E612843" w14:textId="77777777" w:rsidR="00984E97" w:rsidRPr="00984E97" w:rsidRDefault="00984E97" w:rsidP="00984E97">
            <w:pPr>
              <w:ind w:left="360"/>
              <w:jc w:val="both"/>
              <w:rPr>
                <w:rFonts w:ascii="Arial" w:hAnsi="Arial" w:cs="Arial"/>
              </w:rPr>
            </w:pPr>
            <w:r w:rsidRPr="00984E97">
              <w:rPr>
                <w:rFonts w:ascii="Arial" w:hAnsi="Arial" w:cs="Arial"/>
                <w:lang w:val="en-US"/>
              </w:rPr>
              <w:t>5-10 years</w:t>
            </w:r>
          </w:p>
        </w:tc>
        <w:tc>
          <w:tcPr>
            <w:tcW w:w="3355" w:type="dxa"/>
            <w:tcBorders>
              <w:top w:val="single" w:sz="8" w:space="0" w:color="FFFFFF"/>
              <w:left w:val="single" w:sz="8" w:space="0" w:color="FFFFFF"/>
              <w:bottom w:val="single" w:sz="8" w:space="0" w:color="FFFFFF"/>
              <w:right w:val="single" w:sz="8" w:space="0" w:color="FFFFFF"/>
            </w:tcBorders>
            <w:shd w:val="clear" w:color="auto" w:fill="D2ECF9"/>
            <w:tcMar>
              <w:top w:w="30" w:type="dxa"/>
              <w:left w:w="30" w:type="dxa"/>
              <w:bottom w:w="30" w:type="dxa"/>
              <w:right w:w="30" w:type="dxa"/>
            </w:tcMar>
            <w:hideMark/>
          </w:tcPr>
          <w:p w14:paraId="60525EEA" w14:textId="77777777" w:rsidR="00984E97" w:rsidRPr="00984E97" w:rsidRDefault="00984E97" w:rsidP="00984E97">
            <w:pPr>
              <w:ind w:left="360"/>
              <w:jc w:val="both"/>
              <w:rPr>
                <w:rFonts w:ascii="Arial" w:hAnsi="Arial" w:cs="Arial"/>
              </w:rPr>
            </w:pPr>
            <w:r w:rsidRPr="00984E97">
              <w:rPr>
                <w:rFonts w:ascii="Arial" w:hAnsi="Arial" w:cs="Arial"/>
                <w:lang w:val="en-US"/>
              </w:rPr>
              <w:t>Banks, Insurance Companies, Corporate, Provident Funds, Mutual Funds, Individuals</w:t>
            </w:r>
          </w:p>
        </w:tc>
      </w:tr>
      <w:tr w:rsidR="00984E97" w:rsidRPr="00984E97" w14:paraId="62EABB23" w14:textId="77777777" w:rsidTr="00984E97">
        <w:trPr>
          <w:trHeight w:val="1157"/>
        </w:trPr>
        <w:tc>
          <w:tcPr>
            <w:tcW w:w="1859"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2E0C3C58" w14:textId="77777777" w:rsidR="00984E97" w:rsidRPr="00984E97" w:rsidRDefault="00984E97" w:rsidP="00984E97">
            <w:pPr>
              <w:ind w:left="360"/>
              <w:jc w:val="both"/>
              <w:rPr>
                <w:rFonts w:ascii="Arial" w:hAnsi="Arial" w:cs="Arial"/>
              </w:rPr>
            </w:pPr>
            <w:r w:rsidRPr="00984E97">
              <w:rPr>
                <w:rFonts w:ascii="Arial" w:hAnsi="Arial" w:cs="Arial"/>
                <w:lang w:val="en-US"/>
              </w:rPr>
              <w:t>Corporates</w:t>
            </w:r>
          </w:p>
        </w:tc>
        <w:tc>
          <w:tcPr>
            <w:tcW w:w="2114" w:type="dxa"/>
            <w:tcBorders>
              <w:top w:val="single" w:sz="8" w:space="0" w:color="FFFFFF"/>
              <w:left w:val="single" w:sz="8" w:space="0" w:color="FFFFFF"/>
              <w:bottom w:val="single" w:sz="8" w:space="0" w:color="FFFFFF"/>
              <w:right w:val="single" w:sz="8" w:space="0" w:color="FFFFFF"/>
            </w:tcBorders>
            <w:shd w:val="clear" w:color="auto" w:fill="EAF6FC"/>
            <w:tcMar>
              <w:top w:w="30" w:type="dxa"/>
              <w:left w:w="30" w:type="dxa"/>
              <w:bottom w:w="30" w:type="dxa"/>
              <w:right w:w="30" w:type="dxa"/>
            </w:tcMar>
            <w:hideMark/>
          </w:tcPr>
          <w:p w14:paraId="2673D49C" w14:textId="77777777" w:rsidR="00984E97" w:rsidRPr="00984E97" w:rsidRDefault="00984E97" w:rsidP="00984E97">
            <w:pPr>
              <w:ind w:left="360"/>
              <w:jc w:val="both"/>
              <w:rPr>
                <w:rFonts w:ascii="Arial" w:hAnsi="Arial" w:cs="Arial"/>
              </w:rPr>
            </w:pPr>
            <w:r w:rsidRPr="00984E97">
              <w:rPr>
                <w:rFonts w:ascii="Arial" w:hAnsi="Arial" w:cs="Arial"/>
                <w:lang w:val="en-US"/>
              </w:rPr>
              <w:t>Bonds and Debentures</w:t>
            </w:r>
          </w:p>
          <w:p w14:paraId="44B039F1" w14:textId="77777777" w:rsidR="00984E97" w:rsidRPr="00984E97" w:rsidRDefault="00984E97" w:rsidP="00984E97">
            <w:pPr>
              <w:ind w:left="360"/>
              <w:jc w:val="both"/>
              <w:rPr>
                <w:rFonts w:ascii="Arial" w:hAnsi="Arial" w:cs="Arial"/>
              </w:rPr>
            </w:pPr>
            <w:r w:rsidRPr="00984E97">
              <w:rPr>
                <w:rFonts w:ascii="Arial" w:hAnsi="Arial" w:cs="Arial"/>
                <w:lang w:val="en-US"/>
              </w:rPr>
              <w:t>Commercial Paper</w:t>
            </w:r>
          </w:p>
        </w:tc>
        <w:tc>
          <w:tcPr>
            <w:tcW w:w="1734" w:type="dxa"/>
            <w:tcBorders>
              <w:top w:val="single" w:sz="8" w:space="0" w:color="FFFFFF"/>
              <w:left w:val="single" w:sz="8" w:space="0" w:color="FFFFFF"/>
              <w:bottom w:val="single" w:sz="8" w:space="0" w:color="FFFFFF"/>
              <w:right w:val="single" w:sz="8" w:space="0" w:color="FFFFFF"/>
            </w:tcBorders>
            <w:shd w:val="clear" w:color="auto" w:fill="EAF6FC"/>
            <w:tcMar>
              <w:top w:w="30" w:type="dxa"/>
              <w:left w:w="30" w:type="dxa"/>
              <w:bottom w:w="30" w:type="dxa"/>
              <w:right w:w="30" w:type="dxa"/>
            </w:tcMar>
            <w:hideMark/>
          </w:tcPr>
          <w:p w14:paraId="37ABA127" w14:textId="77777777" w:rsidR="00984E97" w:rsidRPr="00984E97" w:rsidRDefault="00984E97" w:rsidP="00984E97">
            <w:pPr>
              <w:ind w:left="360"/>
              <w:jc w:val="both"/>
              <w:rPr>
                <w:rFonts w:ascii="Arial" w:hAnsi="Arial" w:cs="Arial"/>
              </w:rPr>
            </w:pPr>
            <w:r w:rsidRPr="00984E97">
              <w:rPr>
                <w:rFonts w:ascii="Arial" w:hAnsi="Arial" w:cs="Arial"/>
                <w:lang w:val="en-US"/>
              </w:rPr>
              <w:t>1-12 years</w:t>
            </w:r>
          </w:p>
          <w:p w14:paraId="4E521D66" w14:textId="77777777" w:rsidR="00984E97" w:rsidRPr="00984E97" w:rsidRDefault="00984E97" w:rsidP="00984E97">
            <w:pPr>
              <w:ind w:left="360"/>
              <w:jc w:val="both"/>
              <w:rPr>
                <w:rFonts w:ascii="Arial" w:hAnsi="Arial" w:cs="Arial"/>
              </w:rPr>
            </w:pPr>
            <w:r w:rsidRPr="00984E97">
              <w:rPr>
                <w:rFonts w:ascii="Arial" w:hAnsi="Arial" w:cs="Arial"/>
                <w:lang w:val="en-US"/>
              </w:rPr>
              <w:t>15 days to1 year</w:t>
            </w:r>
          </w:p>
        </w:tc>
        <w:tc>
          <w:tcPr>
            <w:tcW w:w="3355" w:type="dxa"/>
            <w:tcBorders>
              <w:top w:val="single" w:sz="8" w:space="0" w:color="FFFFFF"/>
              <w:left w:val="single" w:sz="8" w:space="0" w:color="FFFFFF"/>
              <w:bottom w:val="single" w:sz="8" w:space="0" w:color="FFFFFF"/>
              <w:right w:val="single" w:sz="8" w:space="0" w:color="FFFFFF"/>
            </w:tcBorders>
            <w:shd w:val="clear" w:color="auto" w:fill="EAF6FC"/>
            <w:tcMar>
              <w:top w:w="30" w:type="dxa"/>
              <w:left w:w="30" w:type="dxa"/>
              <w:bottom w:w="30" w:type="dxa"/>
              <w:right w:w="30" w:type="dxa"/>
            </w:tcMar>
            <w:hideMark/>
          </w:tcPr>
          <w:p w14:paraId="3F3EAFCA" w14:textId="77777777" w:rsidR="00984E97" w:rsidRPr="00984E97" w:rsidRDefault="00984E97" w:rsidP="00984E97">
            <w:pPr>
              <w:ind w:left="360"/>
              <w:jc w:val="both"/>
              <w:rPr>
                <w:rFonts w:ascii="Arial" w:hAnsi="Arial" w:cs="Arial"/>
              </w:rPr>
            </w:pPr>
            <w:r w:rsidRPr="00984E97">
              <w:rPr>
                <w:rFonts w:ascii="Arial" w:hAnsi="Arial" w:cs="Arial"/>
                <w:lang w:val="en-US"/>
              </w:rPr>
              <w:t>Banks, Mutual Funds, Corporates, Individuals</w:t>
            </w:r>
          </w:p>
        </w:tc>
      </w:tr>
      <w:tr w:rsidR="00984E97" w:rsidRPr="00984E97" w14:paraId="0ECBE9A5" w14:textId="77777777" w:rsidTr="00984E97">
        <w:trPr>
          <w:trHeight w:val="1157"/>
        </w:trPr>
        <w:tc>
          <w:tcPr>
            <w:tcW w:w="1859"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621A16FD" w14:textId="77777777" w:rsidR="00984E97" w:rsidRPr="00984E97" w:rsidRDefault="00984E97" w:rsidP="00984E97">
            <w:pPr>
              <w:ind w:left="360"/>
              <w:jc w:val="both"/>
              <w:rPr>
                <w:rFonts w:ascii="Arial" w:hAnsi="Arial" w:cs="Arial"/>
              </w:rPr>
            </w:pPr>
            <w:r w:rsidRPr="00984E97">
              <w:rPr>
                <w:rFonts w:ascii="Arial" w:hAnsi="Arial" w:cs="Arial"/>
                <w:lang w:val="en-US"/>
              </w:rPr>
              <w:t>PDs</w:t>
            </w:r>
          </w:p>
        </w:tc>
        <w:tc>
          <w:tcPr>
            <w:tcW w:w="2114"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1DF0C99E" w14:textId="77777777" w:rsidR="00984E97" w:rsidRPr="00984E97" w:rsidRDefault="00984E97" w:rsidP="00984E97">
            <w:pPr>
              <w:ind w:left="360"/>
              <w:jc w:val="both"/>
              <w:rPr>
                <w:rFonts w:ascii="Arial" w:hAnsi="Arial" w:cs="Arial"/>
              </w:rPr>
            </w:pPr>
            <w:r w:rsidRPr="00984E97">
              <w:rPr>
                <w:rFonts w:ascii="Arial" w:hAnsi="Arial" w:cs="Arial"/>
                <w:lang w:val="en-US"/>
              </w:rPr>
              <w:t>Commercial Paper</w:t>
            </w:r>
          </w:p>
        </w:tc>
        <w:tc>
          <w:tcPr>
            <w:tcW w:w="1734" w:type="dxa"/>
            <w:tcBorders>
              <w:top w:val="single" w:sz="8" w:space="0" w:color="FFFFFF"/>
              <w:left w:val="single" w:sz="8" w:space="0" w:color="FFFFFF"/>
              <w:bottom w:val="single" w:sz="8" w:space="0" w:color="FFFFFF"/>
              <w:right w:val="single" w:sz="8" w:space="0" w:color="FFFFFF"/>
            </w:tcBorders>
            <w:shd w:val="clear" w:color="auto" w:fill="D2ECF9"/>
            <w:tcMar>
              <w:top w:w="72" w:type="dxa"/>
              <w:left w:w="144" w:type="dxa"/>
              <w:bottom w:w="72" w:type="dxa"/>
              <w:right w:w="144" w:type="dxa"/>
            </w:tcMar>
            <w:hideMark/>
          </w:tcPr>
          <w:p w14:paraId="397386D8" w14:textId="77777777" w:rsidR="00984E97" w:rsidRPr="00984E97" w:rsidRDefault="00984E97" w:rsidP="00984E97">
            <w:pPr>
              <w:ind w:left="360"/>
              <w:jc w:val="both"/>
              <w:rPr>
                <w:rFonts w:ascii="Arial" w:hAnsi="Arial" w:cs="Arial"/>
              </w:rPr>
            </w:pPr>
            <w:r w:rsidRPr="00984E97">
              <w:rPr>
                <w:rFonts w:ascii="Arial" w:hAnsi="Arial" w:cs="Arial"/>
                <w:lang w:val="en-US"/>
              </w:rPr>
              <w:t>15 days to1 year</w:t>
            </w:r>
          </w:p>
        </w:tc>
        <w:tc>
          <w:tcPr>
            <w:tcW w:w="3355" w:type="dxa"/>
            <w:tcBorders>
              <w:top w:val="single" w:sz="8" w:space="0" w:color="FFFFFF"/>
              <w:left w:val="single" w:sz="8" w:space="0" w:color="FFFFFF"/>
              <w:bottom w:val="single" w:sz="8" w:space="0" w:color="FFFFFF"/>
              <w:right w:val="single" w:sz="8" w:space="0" w:color="FFFFFF"/>
            </w:tcBorders>
            <w:shd w:val="clear" w:color="auto" w:fill="D2ECF9"/>
            <w:tcMar>
              <w:top w:w="30" w:type="dxa"/>
              <w:left w:w="30" w:type="dxa"/>
              <w:bottom w:w="30" w:type="dxa"/>
              <w:right w:w="30" w:type="dxa"/>
            </w:tcMar>
            <w:hideMark/>
          </w:tcPr>
          <w:p w14:paraId="2008DB25" w14:textId="77777777" w:rsidR="00984E97" w:rsidRPr="00984E97" w:rsidRDefault="00984E97" w:rsidP="00984E97">
            <w:pPr>
              <w:ind w:left="360"/>
              <w:jc w:val="both"/>
              <w:rPr>
                <w:rFonts w:ascii="Arial" w:hAnsi="Arial" w:cs="Arial"/>
              </w:rPr>
            </w:pPr>
            <w:r w:rsidRPr="00984E97">
              <w:rPr>
                <w:rFonts w:ascii="Arial" w:hAnsi="Arial" w:cs="Arial"/>
                <w:lang w:val="en-US"/>
              </w:rPr>
              <w:t>Banks, Corporate, Financial Institutions, Mutual Funds, Individuals</w:t>
            </w:r>
          </w:p>
        </w:tc>
      </w:tr>
      <w:tr w:rsidR="00984E97" w:rsidRPr="00984E97" w14:paraId="7FC8DEF1" w14:textId="77777777" w:rsidTr="00984E97">
        <w:trPr>
          <w:trHeight w:val="1157"/>
        </w:trPr>
        <w:tc>
          <w:tcPr>
            <w:tcW w:w="1859"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3FCF1231" w14:textId="77777777" w:rsidR="00984E97" w:rsidRPr="00984E97" w:rsidRDefault="00984E97" w:rsidP="00984E97">
            <w:pPr>
              <w:ind w:left="360"/>
              <w:jc w:val="both"/>
              <w:rPr>
                <w:rFonts w:ascii="Arial" w:hAnsi="Arial" w:cs="Arial"/>
              </w:rPr>
            </w:pPr>
            <w:r w:rsidRPr="00984E97">
              <w:rPr>
                <w:rFonts w:ascii="Arial" w:hAnsi="Arial" w:cs="Arial"/>
                <w:lang w:val="en-US"/>
              </w:rPr>
              <w:t>Banks</w:t>
            </w:r>
          </w:p>
        </w:tc>
        <w:tc>
          <w:tcPr>
            <w:tcW w:w="2114"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05F9C4EF" w14:textId="77777777" w:rsidR="00984E97" w:rsidRPr="00984E97" w:rsidRDefault="00984E97" w:rsidP="00984E97">
            <w:pPr>
              <w:ind w:left="360"/>
              <w:jc w:val="both"/>
              <w:rPr>
                <w:rFonts w:ascii="Arial" w:hAnsi="Arial" w:cs="Arial"/>
              </w:rPr>
            </w:pPr>
            <w:r w:rsidRPr="00984E97">
              <w:rPr>
                <w:rFonts w:ascii="Arial" w:hAnsi="Arial" w:cs="Arial"/>
                <w:lang w:val="en-US"/>
              </w:rPr>
              <w:t>Bonds issued for Tier II capital</w:t>
            </w:r>
          </w:p>
        </w:tc>
        <w:tc>
          <w:tcPr>
            <w:tcW w:w="1734"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5A04C436" w14:textId="77777777" w:rsidR="00984E97" w:rsidRPr="00984E97" w:rsidRDefault="00984E97" w:rsidP="00984E97">
            <w:pPr>
              <w:ind w:left="360"/>
              <w:jc w:val="both"/>
              <w:rPr>
                <w:rFonts w:ascii="Arial" w:hAnsi="Arial" w:cs="Arial"/>
              </w:rPr>
            </w:pPr>
            <w:r w:rsidRPr="00984E97">
              <w:rPr>
                <w:rFonts w:ascii="Arial" w:hAnsi="Arial" w:cs="Arial"/>
                <w:lang w:val="en-US"/>
              </w:rPr>
              <w:t>minimum 5 years</w:t>
            </w:r>
          </w:p>
        </w:tc>
        <w:tc>
          <w:tcPr>
            <w:tcW w:w="3355" w:type="dxa"/>
            <w:tcBorders>
              <w:top w:val="single" w:sz="8" w:space="0" w:color="FFFFFF"/>
              <w:left w:val="single" w:sz="8" w:space="0" w:color="FFFFFF"/>
              <w:bottom w:val="single" w:sz="8" w:space="0" w:color="FFFFFF"/>
              <w:right w:val="single" w:sz="8" w:space="0" w:color="FFFFFF"/>
            </w:tcBorders>
            <w:shd w:val="clear" w:color="auto" w:fill="EAF6FC"/>
            <w:tcMar>
              <w:top w:w="72" w:type="dxa"/>
              <w:left w:w="144" w:type="dxa"/>
              <w:bottom w:w="72" w:type="dxa"/>
              <w:right w:w="144" w:type="dxa"/>
            </w:tcMar>
            <w:hideMark/>
          </w:tcPr>
          <w:p w14:paraId="03E83F16" w14:textId="77777777" w:rsidR="00984E97" w:rsidRPr="00984E97" w:rsidRDefault="00984E97" w:rsidP="00984E97">
            <w:pPr>
              <w:ind w:left="360"/>
              <w:jc w:val="both"/>
              <w:rPr>
                <w:rFonts w:ascii="Arial" w:hAnsi="Arial" w:cs="Arial"/>
              </w:rPr>
            </w:pPr>
            <w:r w:rsidRPr="00984E97">
              <w:rPr>
                <w:rFonts w:ascii="Arial" w:hAnsi="Arial" w:cs="Arial"/>
                <w:lang w:val="en-US"/>
              </w:rPr>
              <w:t>Banks, Corporates</w:t>
            </w:r>
          </w:p>
        </w:tc>
      </w:tr>
    </w:tbl>
    <w:p w14:paraId="60CDE124" w14:textId="7346E4A1" w:rsidR="00A11D43" w:rsidRDefault="00A11D43" w:rsidP="007A68C8">
      <w:pPr>
        <w:ind w:left="360"/>
        <w:jc w:val="both"/>
        <w:rPr>
          <w:rFonts w:ascii="Arial" w:hAnsi="Arial" w:cs="Arial"/>
          <w:lang w:val="en-US"/>
        </w:rPr>
      </w:pPr>
    </w:p>
    <w:p w14:paraId="73808736" w14:textId="3F9BA33A" w:rsidR="00984E97" w:rsidRPr="00A55C63" w:rsidRDefault="00B1398C" w:rsidP="00E47B35">
      <w:pPr>
        <w:ind w:left="1800" w:firstLine="360"/>
        <w:jc w:val="both"/>
        <w:rPr>
          <w:rFonts w:ascii="Arial" w:hAnsi="Arial" w:cs="Arial"/>
          <w:b/>
          <w:bCs/>
          <w:sz w:val="24"/>
          <w:szCs w:val="24"/>
        </w:rPr>
      </w:pPr>
      <w:r w:rsidRPr="00A55C63">
        <w:rPr>
          <w:rFonts w:ascii="Arial" w:hAnsi="Arial" w:cs="Arial"/>
          <w:b/>
          <w:bCs/>
          <w:sz w:val="24"/>
          <w:szCs w:val="24"/>
        </w:rPr>
        <w:t>Issuance procedures of instruments</w:t>
      </w:r>
    </w:p>
    <w:p w14:paraId="493FD872" w14:textId="77777777" w:rsidR="00F36D23" w:rsidRPr="00CD19B5" w:rsidRDefault="00F36D23" w:rsidP="00F36D23">
      <w:pPr>
        <w:jc w:val="both"/>
        <w:rPr>
          <w:rFonts w:ascii="Arial" w:hAnsi="Arial" w:cs="Arial"/>
          <w:color w:val="000000"/>
          <w:sz w:val="24"/>
          <w:szCs w:val="24"/>
          <w:shd w:val="clear" w:color="auto" w:fill="FFFFFF"/>
        </w:rPr>
      </w:pPr>
      <w:r w:rsidRPr="00CD19B5">
        <w:rPr>
          <w:rFonts w:ascii="Arial" w:hAnsi="Arial" w:cs="Arial"/>
          <w:color w:val="000000"/>
          <w:sz w:val="24"/>
          <w:szCs w:val="24"/>
          <w:shd w:val="clear" w:color="auto" w:fill="FFFFFF"/>
        </w:rPr>
        <w:t>G-Secs are issued through auctions conducted by RBI. The RBI, in consultation with the Government of India, issues an indicative half-yearly auction calendar which contains information about the amount of borrowing, the range of the tenor of securities and the period during which auctions will be held. A Notification and a Press Communique giving exact particulars of the securities, viz., name, amount, type of issue and procedure of auction are issued by the Government of India about a week prior to the actual date of auction. Auction for dated securities is conducted on Friday for settlement on T+1 basis (i.e. securities are issued on next working day i.e. Monday). The investors are thus given adequate time to plan for the purchase of G-Secs through such auctions.</w:t>
      </w:r>
    </w:p>
    <w:p w14:paraId="173FF964" w14:textId="34B53B7A" w:rsidR="00B1398C" w:rsidRPr="00CD19B5" w:rsidRDefault="00F36D23" w:rsidP="00B1398C">
      <w:pPr>
        <w:jc w:val="both"/>
        <w:rPr>
          <w:rFonts w:ascii="Arial" w:hAnsi="Arial" w:cs="Arial"/>
          <w:color w:val="000000"/>
          <w:sz w:val="24"/>
          <w:szCs w:val="24"/>
          <w:shd w:val="clear" w:color="auto" w:fill="FFFFFF"/>
        </w:rPr>
      </w:pPr>
      <w:r w:rsidRPr="00CD19B5">
        <w:rPr>
          <w:rFonts w:ascii="Arial" w:hAnsi="Arial" w:cs="Arial"/>
          <w:color w:val="000000"/>
          <w:sz w:val="24"/>
          <w:szCs w:val="24"/>
          <w:shd w:val="clear" w:color="auto" w:fill="FFFFFF"/>
        </w:rPr>
        <w:t xml:space="preserve">Auctions are conducted on the electronic platform called the E-Kuber, the Core Banking Solution (CBS) platform of RBI. Commercial banks, scheduled UCBs, Primary Dealers insurance companies and provident funds, who maintain funds account (current account) and securities accounts (Subsidiary General Ledger (SGL) account) with RBI, are members of this electronic platform. All members of E-Kuber can place their bids in the auction through this electronic platform. The results of the auction are published by RBI at stipulated time (For Treasury bills at 1:30 PM and for </w:t>
      </w:r>
      <w:proofErr w:type="spellStart"/>
      <w:r w:rsidRPr="00CD19B5">
        <w:rPr>
          <w:rFonts w:ascii="Arial" w:hAnsi="Arial" w:cs="Arial"/>
          <w:color w:val="000000"/>
          <w:sz w:val="24"/>
          <w:szCs w:val="24"/>
          <w:shd w:val="clear" w:color="auto" w:fill="FFFFFF"/>
        </w:rPr>
        <w:t>GoI</w:t>
      </w:r>
      <w:proofErr w:type="spellEnd"/>
      <w:r w:rsidRPr="00CD19B5">
        <w:rPr>
          <w:rFonts w:ascii="Arial" w:hAnsi="Arial" w:cs="Arial"/>
          <w:color w:val="000000"/>
          <w:sz w:val="24"/>
          <w:szCs w:val="24"/>
          <w:shd w:val="clear" w:color="auto" w:fill="FFFFFF"/>
        </w:rPr>
        <w:t xml:space="preserve"> dated securities at 2:00 PM or at half hourly intervals thereafter in case of delay). All non-E-Kuber members including non-scheduled UCBs can participate in the primary auction through scheduled commercial banks or PDs (called as Primary Members-PMs)</w:t>
      </w:r>
    </w:p>
    <w:p w14:paraId="3B8CD6F5" w14:textId="43BA07DA" w:rsidR="00F36D23" w:rsidRPr="00CD19B5" w:rsidRDefault="00F36D23" w:rsidP="00B1398C">
      <w:pPr>
        <w:jc w:val="both"/>
        <w:rPr>
          <w:rFonts w:ascii="Arial" w:hAnsi="Arial" w:cs="Arial"/>
          <w:color w:val="000000"/>
          <w:sz w:val="24"/>
          <w:szCs w:val="24"/>
          <w:shd w:val="clear" w:color="auto" w:fill="FFFFFF"/>
        </w:rPr>
      </w:pPr>
      <w:r w:rsidRPr="00CD19B5">
        <w:rPr>
          <w:rFonts w:ascii="Arial" w:hAnsi="Arial" w:cs="Arial"/>
          <w:color w:val="000000"/>
          <w:sz w:val="24"/>
          <w:szCs w:val="24"/>
          <w:shd w:val="clear" w:color="auto" w:fill="FFFFFF"/>
        </w:rPr>
        <w:lastRenderedPageBreak/>
        <w:t xml:space="preserve">The Reserve Bank of India conducts auctions usually every Wednesday to issue T-bills of 91day, 182 day and </w:t>
      </w:r>
      <w:proofErr w:type="gramStart"/>
      <w:r w:rsidRPr="00CD19B5">
        <w:rPr>
          <w:rFonts w:ascii="Arial" w:hAnsi="Arial" w:cs="Arial"/>
          <w:color w:val="000000"/>
          <w:sz w:val="24"/>
          <w:szCs w:val="24"/>
          <w:shd w:val="clear" w:color="auto" w:fill="FFFFFF"/>
        </w:rPr>
        <w:t>364 day</w:t>
      </w:r>
      <w:proofErr w:type="gramEnd"/>
      <w:r w:rsidRPr="00CD19B5">
        <w:rPr>
          <w:rFonts w:ascii="Arial" w:hAnsi="Arial" w:cs="Arial"/>
          <w:color w:val="000000"/>
          <w:sz w:val="24"/>
          <w:szCs w:val="24"/>
          <w:shd w:val="clear" w:color="auto" w:fill="FFFFFF"/>
        </w:rPr>
        <w:t xml:space="preserve"> tenors. Settlement for the T-bills auctioned is made on T+1 day i.e. on the working day following the trade day. The Reserve Bank releases a quarterly calendar of T-bill issuances for the upcoming quarter in the last week of the preceding quarter. e.g. calendar for April-June period is notified in the last week of March.</w:t>
      </w:r>
    </w:p>
    <w:p w14:paraId="7C855C4F" w14:textId="2E1ED511" w:rsidR="00F36D23" w:rsidRPr="00CD19B5" w:rsidRDefault="00F36D23" w:rsidP="00B1398C">
      <w:pPr>
        <w:jc w:val="both"/>
        <w:rPr>
          <w:rFonts w:ascii="Arial" w:hAnsi="Arial" w:cs="Arial"/>
          <w:color w:val="000000"/>
          <w:sz w:val="24"/>
          <w:szCs w:val="24"/>
          <w:shd w:val="clear" w:color="auto" w:fill="FFFFFF"/>
        </w:rPr>
      </w:pPr>
      <w:r w:rsidRPr="00CD19B5">
        <w:rPr>
          <w:rFonts w:ascii="Arial" w:hAnsi="Arial" w:cs="Arial"/>
          <w:color w:val="000000"/>
          <w:sz w:val="24"/>
          <w:szCs w:val="24"/>
          <w:shd w:val="clear" w:color="auto" w:fill="FFFFFF"/>
        </w:rPr>
        <w:t xml:space="preserve">Like T-bills, Cash Management Bills (CMBs) are also issued at a discount and redeemed at face value on maturity. The tenor, notified amount and date of issue of the CMBs depend upon the temporary cash requirement of the Government. The tenors of CMBs </w:t>
      </w:r>
      <w:proofErr w:type="gramStart"/>
      <w:r w:rsidRPr="00CD19B5">
        <w:rPr>
          <w:rFonts w:ascii="Arial" w:hAnsi="Arial" w:cs="Arial"/>
          <w:color w:val="000000"/>
          <w:sz w:val="24"/>
          <w:szCs w:val="24"/>
          <w:shd w:val="clear" w:color="auto" w:fill="FFFFFF"/>
        </w:rPr>
        <w:t>is</w:t>
      </w:r>
      <w:proofErr w:type="gramEnd"/>
      <w:r w:rsidRPr="00CD19B5">
        <w:rPr>
          <w:rFonts w:ascii="Arial" w:hAnsi="Arial" w:cs="Arial"/>
          <w:color w:val="000000"/>
          <w:sz w:val="24"/>
          <w:szCs w:val="24"/>
          <w:shd w:val="clear" w:color="auto" w:fill="FFFFFF"/>
        </w:rPr>
        <w:t xml:space="preserve"> generally less than 91 days.</w:t>
      </w:r>
    </w:p>
    <w:p w14:paraId="3441A9E8" w14:textId="104FA62F" w:rsidR="00F36D23" w:rsidRPr="00CD19B5" w:rsidRDefault="00F36D23" w:rsidP="00B1398C">
      <w:pPr>
        <w:jc w:val="both"/>
        <w:rPr>
          <w:rFonts w:ascii="Arial" w:hAnsi="Arial" w:cs="Arial"/>
          <w:color w:val="000000"/>
          <w:sz w:val="24"/>
          <w:szCs w:val="24"/>
          <w:shd w:val="clear" w:color="auto" w:fill="FFFFFF"/>
        </w:rPr>
      </w:pPr>
      <w:r w:rsidRPr="00CD19B5">
        <w:rPr>
          <w:rFonts w:ascii="Arial" w:hAnsi="Arial" w:cs="Arial"/>
          <w:color w:val="000000"/>
          <w:sz w:val="24"/>
          <w:szCs w:val="24"/>
          <w:shd w:val="clear" w:color="auto" w:fill="FFFFFF"/>
        </w:rPr>
        <w:t>An auction may either be yield based or price based.</w:t>
      </w:r>
    </w:p>
    <w:p w14:paraId="0FC86DBF" w14:textId="63F2D0E9" w:rsidR="00F36D23" w:rsidRPr="00CD19B5" w:rsidRDefault="00284590" w:rsidP="00B1398C">
      <w:pPr>
        <w:jc w:val="both"/>
        <w:rPr>
          <w:rFonts w:ascii="Arial" w:hAnsi="Arial" w:cs="Arial"/>
          <w:color w:val="000000"/>
          <w:sz w:val="24"/>
          <w:szCs w:val="24"/>
          <w:shd w:val="clear" w:color="auto" w:fill="FFFFFF"/>
        </w:rPr>
      </w:pPr>
      <w:r w:rsidRPr="00CD19B5">
        <w:rPr>
          <w:rStyle w:val="head"/>
          <w:rFonts w:ascii="Arial" w:hAnsi="Arial" w:cs="Arial"/>
          <w:b/>
          <w:bCs/>
          <w:color w:val="000000"/>
          <w:sz w:val="24"/>
          <w:szCs w:val="24"/>
          <w:shd w:val="clear" w:color="auto" w:fill="FFFFFF"/>
        </w:rPr>
        <w:t>Yield Based Auction:</w:t>
      </w:r>
      <w:r w:rsidRPr="00CD19B5">
        <w:rPr>
          <w:rFonts w:ascii="Arial" w:hAnsi="Arial" w:cs="Arial"/>
          <w:color w:val="000000"/>
          <w:sz w:val="24"/>
          <w:szCs w:val="24"/>
          <w:shd w:val="clear" w:color="auto" w:fill="FFFFFF"/>
        </w:rPr>
        <w:t> A yield-based auction is generally conducted when a new G-Sec is issued. Investors bid in yield terms up to two decimal places (e.g., 8.19%, 8.20%, etc.). Bids are arranged in ascending order and the cut-off yield is arrived at the yield corresponding to the notified amount of the auction. The cut-off yield is then fixed as the coupon rate for the security. Successful bidders are those who have bid at or below the cut-off yield. Bids which are higher than the cut-off yield are rejected.</w:t>
      </w:r>
    </w:p>
    <w:p w14:paraId="173283E9" w14:textId="614B443B" w:rsidR="00284590" w:rsidRPr="00CD19B5" w:rsidRDefault="00284590" w:rsidP="00B1398C">
      <w:pPr>
        <w:jc w:val="both"/>
        <w:rPr>
          <w:rFonts w:ascii="Arial" w:hAnsi="Arial" w:cs="Arial"/>
          <w:color w:val="000000"/>
          <w:sz w:val="24"/>
          <w:szCs w:val="24"/>
          <w:shd w:val="clear" w:color="auto" w:fill="FFFFFF"/>
        </w:rPr>
      </w:pPr>
      <w:r w:rsidRPr="00CD19B5">
        <w:rPr>
          <w:rStyle w:val="head"/>
          <w:rFonts w:ascii="Arial" w:hAnsi="Arial" w:cs="Arial"/>
          <w:b/>
          <w:bCs/>
          <w:color w:val="000000"/>
          <w:sz w:val="24"/>
          <w:szCs w:val="24"/>
          <w:shd w:val="clear" w:color="auto" w:fill="FFFFFF"/>
        </w:rPr>
        <w:t> Based Auction:</w:t>
      </w:r>
      <w:r w:rsidRPr="00CD19B5">
        <w:rPr>
          <w:rFonts w:ascii="Arial" w:hAnsi="Arial" w:cs="Arial"/>
          <w:color w:val="000000"/>
          <w:sz w:val="24"/>
          <w:szCs w:val="24"/>
          <w:shd w:val="clear" w:color="auto" w:fill="FFFFFF"/>
        </w:rPr>
        <w:t xml:space="preserve"> A </w:t>
      </w:r>
      <w:proofErr w:type="gramStart"/>
      <w:r w:rsidRPr="00CD19B5">
        <w:rPr>
          <w:rFonts w:ascii="Arial" w:hAnsi="Arial" w:cs="Arial"/>
          <w:color w:val="000000"/>
          <w:sz w:val="24"/>
          <w:szCs w:val="24"/>
          <w:shd w:val="clear" w:color="auto" w:fill="FFFFFF"/>
        </w:rPr>
        <w:t>price based</w:t>
      </w:r>
      <w:proofErr w:type="gramEnd"/>
      <w:r w:rsidRPr="00CD19B5">
        <w:rPr>
          <w:rFonts w:ascii="Arial" w:hAnsi="Arial" w:cs="Arial"/>
          <w:color w:val="000000"/>
          <w:sz w:val="24"/>
          <w:szCs w:val="24"/>
          <w:shd w:val="clear" w:color="auto" w:fill="FFFFFF"/>
        </w:rPr>
        <w:t xml:space="preserve"> auction is conducted when Government of India re-issues securities which have already been issued earlier. Bidders quote in terms of price per ₹100 of face value of the security (e.g., ₹102.00, ₹101.00, ₹100.00, ₹ 99.00, etc., per ₹100/-). Bids are arranged in descending order of price offered and the successful bidders are those who have bid at or above the cut-off price. Bids which are below the cut-off price are rejected.</w:t>
      </w:r>
    </w:p>
    <w:p w14:paraId="5347BA31" w14:textId="04DBABE8" w:rsidR="00284590" w:rsidRPr="00CD19B5" w:rsidRDefault="00284590" w:rsidP="00B1398C">
      <w:pPr>
        <w:jc w:val="both"/>
        <w:rPr>
          <w:rFonts w:ascii="Arial" w:hAnsi="Arial" w:cs="Arial"/>
          <w:color w:val="000000"/>
          <w:sz w:val="24"/>
          <w:szCs w:val="24"/>
          <w:shd w:val="clear" w:color="auto" w:fill="FFFFFF"/>
        </w:rPr>
      </w:pPr>
      <w:r w:rsidRPr="00CD19B5">
        <w:rPr>
          <w:rStyle w:val="head"/>
          <w:rFonts w:ascii="Arial" w:hAnsi="Arial" w:cs="Arial"/>
          <w:b/>
          <w:bCs/>
          <w:color w:val="000000"/>
          <w:sz w:val="24"/>
          <w:szCs w:val="24"/>
          <w:shd w:val="clear" w:color="auto" w:fill="FFFFFF"/>
        </w:rPr>
        <w:t>Competitive Bidding:</w:t>
      </w:r>
      <w:r w:rsidRPr="00CD19B5">
        <w:rPr>
          <w:rFonts w:ascii="Arial" w:hAnsi="Arial" w:cs="Arial"/>
          <w:color w:val="000000"/>
          <w:sz w:val="24"/>
          <w:szCs w:val="24"/>
          <w:shd w:val="clear" w:color="auto" w:fill="FFFFFF"/>
        </w:rPr>
        <w:t> In a competitive bidding, an investor bids at a specific price / yield and is allotted securities if the price / yield quoted is within the cut-off price / yield. Competitive bids are made by well-informed institutional investors such as banks, financial institutions, PDs, mutual funds, and insurance companies. The minimum bid amount is ₹10,000 and in multiples of ₹10,000 in dated securities and minimum ₹ 10,000 in case of T-Bills and in multiples of ₹ 10,000 thereafter.</w:t>
      </w:r>
    </w:p>
    <w:p w14:paraId="2AC5410F" w14:textId="34F927E7" w:rsidR="00284590" w:rsidRPr="00CD19B5" w:rsidRDefault="00284590" w:rsidP="00B1398C">
      <w:pPr>
        <w:jc w:val="both"/>
        <w:rPr>
          <w:rFonts w:ascii="Arial" w:hAnsi="Arial" w:cs="Arial"/>
          <w:color w:val="000000"/>
          <w:sz w:val="24"/>
          <w:szCs w:val="24"/>
          <w:shd w:val="clear" w:color="auto" w:fill="FFFFFF"/>
        </w:rPr>
      </w:pPr>
      <w:proofErr w:type="gramStart"/>
      <w:r w:rsidRPr="00CD19B5">
        <w:rPr>
          <w:rFonts w:ascii="Arial" w:hAnsi="Arial" w:cs="Arial"/>
          <w:b/>
          <w:bCs/>
          <w:color w:val="000000"/>
          <w:sz w:val="24"/>
          <w:szCs w:val="24"/>
          <w:shd w:val="clear" w:color="auto" w:fill="FFFFFF"/>
        </w:rPr>
        <w:t>Non Competitive</w:t>
      </w:r>
      <w:proofErr w:type="gramEnd"/>
      <w:r w:rsidRPr="00CD19B5">
        <w:rPr>
          <w:rFonts w:ascii="Arial" w:hAnsi="Arial" w:cs="Arial"/>
          <w:b/>
          <w:bCs/>
          <w:color w:val="000000"/>
          <w:sz w:val="24"/>
          <w:szCs w:val="24"/>
          <w:shd w:val="clear" w:color="auto" w:fill="FFFFFF"/>
        </w:rPr>
        <w:t xml:space="preserve"> Bidding </w:t>
      </w:r>
      <w:r w:rsidRPr="00CD19B5">
        <w:rPr>
          <w:rFonts w:ascii="Arial" w:hAnsi="Arial" w:cs="Arial"/>
          <w:color w:val="000000"/>
          <w:sz w:val="24"/>
          <w:szCs w:val="24"/>
          <w:shd w:val="clear" w:color="auto" w:fill="FFFFFF"/>
        </w:rPr>
        <w:t>With a view to encouraging wider participation and retail holding of Government securities, retail investors are allowed participation on “non-competitive” basis in select auctions of dated Government of India (</w:t>
      </w:r>
      <w:proofErr w:type="spellStart"/>
      <w:r w:rsidRPr="00CD19B5">
        <w:rPr>
          <w:rFonts w:ascii="Arial" w:hAnsi="Arial" w:cs="Arial"/>
          <w:color w:val="000000"/>
          <w:sz w:val="24"/>
          <w:szCs w:val="24"/>
          <w:shd w:val="clear" w:color="auto" w:fill="FFFFFF"/>
        </w:rPr>
        <w:t>GoI</w:t>
      </w:r>
      <w:proofErr w:type="spellEnd"/>
      <w:r w:rsidRPr="00CD19B5">
        <w:rPr>
          <w:rFonts w:ascii="Arial" w:hAnsi="Arial" w:cs="Arial"/>
          <w:color w:val="000000"/>
          <w:sz w:val="24"/>
          <w:szCs w:val="24"/>
          <w:shd w:val="clear" w:color="auto" w:fill="FFFFFF"/>
        </w:rPr>
        <w:t xml:space="preserve">) securities and Treasury Bills. Participation on a non-competitive basis in the auctions will be open to a retail investor who (a) does not maintain current account (CA) or Subsidiary General Ledger (SGL) account with the Reserve Bank of India; and (b) submits the bid indirectly through an Aggregator/Facilitator permitted under the scheme. Retail investor, for the purpose of scheme of NCB, is any person, including individuals, firms, companies, corporate bodies, institutions, provident funds, trusts, and any other entity as may be prescribed by RBI. The minimum amount for bidding will be ₹10,000 (face value) and thereafter in multiples in ₹10,000 as hitherto. In the auctions of </w:t>
      </w:r>
      <w:proofErr w:type="spellStart"/>
      <w:r w:rsidRPr="00CD19B5">
        <w:rPr>
          <w:rFonts w:ascii="Arial" w:hAnsi="Arial" w:cs="Arial"/>
          <w:color w:val="000000"/>
          <w:sz w:val="24"/>
          <w:szCs w:val="24"/>
          <w:shd w:val="clear" w:color="auto" w:fill="FFFFFF"/>
        </w:rPr>
        <w:t>GoI</w:t>
      </w:r>
      <w:proofErr w:type="spellEnd"/>
      <w:r w:rsidRPr="00CD19B5">
        <w:rPr>
          <w:rFonts w:ascii="Arial" w:hAnsi="Arial" w:cs="Arial"/>
          <w:color w:val="000000"/>
          <w:sz w:val="24"/>
          <w:szCs w:val="24"/>
          <w:shd w:val="clear" w:color="auto" w:fill="FFFFFF"/>
        </w:rPr>
        <w:t xml:space="preserve"> dated securities, the retail investors can make a single bid for an amount not more than Rupees Two crore (face value) per security per auction. The Aggregator/Facilitator can recover up to six paise per ₹100 as brokerage/commission/service charges for </w:t>
      </w:r>
      <w:r w:rsidRPr="00CD19B5">
        <w:rPr>
          <w:rFonts w:ascii="Arial" w:hAnsi="Arial" w:cs="Arial"/>
          <w:color w:val="000000"/>
          <w:sz w:val="24"/>
          <w:szCs w:val="24"/>
          <w:shd w:val="clear" w:color="auto" w:fill="FFFFFF"/>
        </w:rPr>
        <w:lastRenderedPageBreak/>
        <w:t xml:space="preserve">rendering this service to their clients. Allocation of non-competitive bids from retail investors except as specified above will be restricted to a maximum of five percent of the aggregate nominal amount of the </w:t>
      </w:r>
      <w:proofErr w:type="gramStart"/>
      <w:r w:rsidRPr="00CD19B5">
        <w:rPr>
          <w:rFonts w:ascii="Arial" w:hAnsi="Arial" w:cs="Arial"/>
          <w:color w:val="000000"/>
          <w:sz w:val="24"/>
          <w:szCs w:val="24"/>
          <w:shd w:val="clear" w:color="auto" w:fill="FFFFFF"/>
        </w:rPr>
        <w:t>issue </w:t>
      </w:r>
      <w:r w:rsidR="007A3277" w:rsidRPr="00CD19B5">
        <w:rPr>
          <w:rFonts w:ascii="Arial" w:hAnsi="Arial" w:cs="Arial"/>
          <w:color w:val="000000"/>
          <w:sz w:val="24"/>
          <w:szCs w:val="24"/>
          <w:shd w:val="clear" w:color="auto" w:fill="FFFFFF"/>
        </w:rPr>
        <w:t>.</w:t>
      </w:r>
      <w:proofErr w:type="gramEnd"/>
    </w:p>
    <w:p w14:paraId="28CD660A" w14:textId="3FA7AF9B" w:rsidR="007A3277" w:rsidRPr="00CD19B5" w:rsidRDefault="007A3277" w:rsidP="00B1398C">
      <w:pPr>
        <w:jc w:val="both"/>
        <w:rPr>
          <w:rFonts w:ascii="Arial" w:hAnsi="Arial" w:cs="Arial"/>
          <w:color w:val="000000"/>
          <w:sz w:val="24"/>
          <w:szCs w:val="24"/>
          <w:shd w:val="clear" w:color="auto" w:fill="FFFFFF"/>
        </w:rPr>
      </w:pPr>
      <w:r w:rsidRPr="00CD19B5">
        <w:rPr>
          <w:rFonts w:ascii="Arial" w:hAnsi="Arial" w:cs="Arial"/>
          <w:b/>
          <w:bCs/>
          <w:color w:val="000000"/>
          <w:sz w:val="24"/>
          <w:szCs w:val="24"/>
          <w:shd w:val="clear" w:color="auto" w:fill="FFFFFF"/>
        </w:rPr>
        <w:t xml:space="preserve">Switch. </w:t>
      </w:r>
      <w:r w:rsidRPr="00CD19B5">
        <w:rPr>
          <w:rFonts w:ascii="Arial" w:hAnsi="Arial" w:cs="Arial"/>
          <w:color w:val="000000"/>
          <w:sz w:val="24"/>
          <w:szCs w:val="24"/>
          <w:shd w:val="clear" w:color="auto" w:fill="FFFFFF"/>
        </w:rPr>
        <w:t>RBI has from April 22, 2019 started conducting the auction for conversion of Government of India securities on third Monday of every month. Bidding in the auction implies that the market participants agree to sell the source security/</w:t>
      </w:r>
      <w:proofErr w:type="spellStart"/>
      <w:r w:rsidRPr="00CD19B5">
        <w:rPr>
          <w:rFonts w:ascii="Arial" w:hAnsi="Arial" w:cs="Arial"/>
          <w:color w:val="000000"/>
          <w:sz w:val="24"/>
          <w:szCs w:val="24"/>
          <w:shd w:val="clear" w:color="auto" w:fill="FFFFFF"/>
        </w:rPr>
        <w:t>ies</w:t>
      </w:r>
      <w:proofErr w:type="spellEnd"/>
      <w:r w:rsidRPr="00CD19B5">
        <w:rPr>
          <w:rFonts w:ascii="Arial" w:hAnsi="Arial" w:cs="Arial"/>
          <w:color w:val="000000"/>
          <w:sz w:val="24"/>
          <w:szCs w:val="24"/>
          <w:shd w:val="clear" w:color="auto" w:fill="FFFFFF"/>
        </w:rPr>
        <w:t xml:space="preserve"> to the Government of India (</w:t>
      </w:r>
      <w:proofErr w:type="spellStart"/>
      <w:r w:rsidRPr="00CD19B5">
        <w:rPr>
          <w:rFonts w:ascii="Arial" w:hAnsi="Arial" w:cs="Arial"/>
          <w:color w:val="000000"/>
          <w:sz w:val="24"/>
          <w:szCs w:val="24"/>
          <w:shd w:val="clear" w:color="auto" w:fill="FFFFFF"/>
        </w:rPr>
        <w:t>GoI</w:t>
      </w:r>
      <w:proofErr w:type="spellEnd"/>
      <w:r w:rsidRPr="00CD19B5">
        <w:rPr>
          <w:rFonts w:ascii="Arial" w:hAnsi="Arial" w:cs="Arial"/>
          <w:color w:val="000000"/>
          <w:sz w:val="24"/>
          <w:szCs w:val="24"/>
          <w:shd w:val="clear" w:color="auto" w:fill="FFFFFF"/>
        </w:rPr>
        <w:t xml:space="preserve">) and simultaneously agree to buy the destination security from the </w:t>
      </w:r>
      <w:proofErr w:type="spellStart"/>
      <w:r w:rsidRPr="00CD19B5">
        <w:rPr>
          <w:rFonts w:ascii="Arial" w:hAnsi="Arial" w:cs="Arial"/>
          <w:color w:val="000000"/>
          <w:sz w:val="24"/>
          <w:szCs w:val="24"/>
          <w:shd w:val="clear" w:color="auto" w:fill="FFFFFF"/>
        </w:rPr>
        <w:t>GoI</w:t>
      </w:r>
      <w:proofErr w:type="spellEnd"/>
      <w:r w:rsidRPr="00CD19B5">
        <w:rPr>
          <w:rFonts w:ascii="Arial" w:hAnsi="Arial" w:cs="Arial"/>
          <w:color w:val="000000"/>
          <w:sz w:val="24"/>
          <w:szCs w:val="24"/>
          <w:shd w:val="clear" w:color="auto" w:fill="FFFFFF"/>
        </w:rPr>
        <w:t xml:space="preserve"> at their respective quoted prices. The source securities along with notified amount and corresponding destination securities are provided in the press release issued before the auction. The market participants are required to place their bids in e-</w:t>
      </w:r>
      <w:proofErr w:type="spellStart"/>
      <w:r w:rsidRPr="00CD19B5">
        <w:rPr>
          <w:rFonts w:ascii="Arial" w:hAnsi="Arial" w:cs="Arial"/>
          <w:color w:val="000000"/>
          <w:sz w:val="24"/>
          <w:szCs w:val="24"/>
          <w:shd w:val="clear" w:color="auto" w:fill="FFFFFF"/>
        </w:rPr>
        <w:t>kuber</w:t>
      </w:r>
      <w:proofErr w:type="spellEnd"/>
      <w:r w:rsidRPr="00CD19B5">
        <w:rPr>
          <w:rFonts w:ascii="Arial" w:hAnsi="Arial" w:cs="Arial"/>
          <w:color w:val="000000"/>
          <w:sz w:val="24"/>
          <w:szCs w:val="24"/>
          <w:shd w:val="clear" w:color="auto" w:fill="FFFFFF"/>
        </w:rPr>
        <w:t xml:space="preserve"> giving the amount of the source security and the price of the source and destination security expressed up to two decimal places.</w:t>
      </w:r>
    </w:p>
    <w:p w14:paraId="11B71497" w14:textId="77777777" w:rsidR="00C16EB2" w:rsidRPr="00C16EB2" w:rsidRDefault="00C16EB2" w:rsidP="00CD19B5">
      <w:pPr>
        <w:ind w:left="1440" w:firstLine="720"/>
        <w:jc w:val="both"/>
        <w:rPr>
          <w:rFonts w:ascii="Arial" w:hAnsi="Arial" w:cs="Arial"/>
        </w:rPr>
      </w:pPr>
      <w:r w:rsidRPr="00C16EB2">
        <w:rPr>
          <w:rFonts w:ascii="Arial" w:hAnsi="Arial" w:cs="Arial"/>
          <w:b/>
          <w:bCs/>
          <w:lang w:val="en-US"/>
        </w:rPr>
        <w:t>Features of bonds</w:t>
      </w:r>
    </w:p>
    <w:p w14:paraId="379DA944" w14:textId="77777777" w:rsidR="00C16EB2" w:rsidRPr="00C16EB2" w:rsidRDefault="00C16EB2" w:rsidP="00CD19B5">
      <w:pPr>
        <w:jc w:val="both"/>
        <w:rPr>
          <w:rFonts w:ascii="Arial" w:hAnsi="Arial" w:cs="Arial"/>
        </w:rPr>
      </w:pPr>
      <w:r w:rsidRPr="00C16EB2">
        <w:rPr>
          <w:rFonts w:ascii="Arial" w:hAnsi="Arial" w:cs="Arial"/>
          <w:b/>
          <w:bCs/>
          <w:lang w:val="en-US"/>
        </w:rPr>
        <w:t>Maturity:</w:t>
      </w:r>
      <w:r w:rsidRPr="00C16EB2">
        <w:rPr>
          <w:rFonts w:ascii="Arial" w:hAnsi="Arial" w:cs="Arial"/>
          <w:lang w:val="en-US"/>
        </w:rPr>
        <w:t xml:space="preserve"> The date on which the bond issuer returns the money lent to them by bond investors. Bonds have short, </w:t>
      </w:r>
      <w:proofErr w:type="gramStart"/>
      <w:r w:rsidRPr="00C16EB2">
        <w:rPr>
          <w:rFonts w:ascii="Arial" w:hAnsi="Arial" w:cs="Arial"/>
          <w:lang w:val="en-US"/>
        </w:rPr>
        <w:t>medium</w:t>
      </w:r>
      <w:proofErr w:type="gramEnd"/>
      <w:r w:rsidRPr="00C16EB2">
        <w:rPr>
          <w:rFonts w:ascii="Arial" w:hAnsi="Arial" w:cs="Arial"/>
          <w:lang w:val="en-US"/>
        </w:rPr>
        <w:t xml:space="preserve"> or long maturities.</w:t>
      </w:r>
    </w:p>
    <w:p w14:paraId="36736953" w14:textId="77777777" w:rsidR="00C16EB2" w:rsidRPr="00C16EB2" w:rsidRDefault="00C16EB2" w:rsidP="00CD19B5">
      <w:pPr>
        <w:jc w:val="both"/>
        <w:rPr>
          <w:rFonts w:ascii="Arial" w:hAnsi="Arial" w:cs="Arial"/>
        </w:rPr>
      </w:pPr>
      <w:r w:rsidRPr="00C16EB2">
        <w:rPr>
          <w:rFonts w:ascii="Arial" w:hAnsi="Arial" w:cs="Arial"/>
          <w:b/>
          <w:bCs/>
          <w:lang w:val="en-US"/>
        </w:rPr>
        <w:t>Face value:</w:t>
      </w:r>
      <w:r w:rsidRPr="00C16EB2">
        <w:rPr>
          <w:rFonts w:ascii="Arial" w:hAnsi="Arial" w:cs="Arial"/>
          <w:lang w:val="en-US"/>
        </w:rPr>
        <w:t> Also known as par, face value is the amount your bond will be worth at maturity. A bond’s face value is also the basis for calculating interest payments due to bondholders. Most commonly bonds have a par value of Rs 100.</w:t>
      </w:r>
    </w:p>
    <w:p w14:paraId="049C63E8" w14:textId="77777777" w:rsidR="00C16EB2" w:rsidRPr="00C16EB2" w:rsidRDefault="00C16EB2" w:rsidP="00CD19B5">
      <w:pPr>
        <w:jc w:val="both"/>
        <w:rPr>
          <w:rFonts w:ascii="Arial" w:hAnsi="Arial" w:cs="Arial"/>
        </w:rPr>
      </w:pPr>
      <w:r w:rsidRPr="00C16EB2">
        <w:rPr>
          <w:rFonts w:ascii="Arial" w:hAnsi="Arial" w:cs="Arial"/>
          <w:b/>
          <w:bCs/>
          <w:lang w:val="en-US"/>
        </w:rPr>
        <w:t>Coupon:</w:t>
      </w:r>
      <w:r w:rsidRPr="00C16EB2">
        <w:rPr>
          <w:rFonts w:ascii="Arial" w:hAnsi="Arial" w:cs="Arial"/>
          <w:lang w:val="en-US"/>
        </w:rPr>
        <w:t> The fixed rate of interest that the bond issuer pays its bondholders. Using the Rs 100 example, if a bond has a 3% coupon, the bond issuer promises to pay investors Rs 3 per year until the bond’s maturity date (3% of Rs 100 par value = Rs 3 per annum).</w:t>
      </w:r>
    </w:p>
    <w:p w14:paraId="7EB16B15" w14:textId="77777777" w:rsidR="00C16EB2" w:rsidRPr="00C16EB2" w:rsidRDefault="00C16EB2" w:rsidP="00CD19B5">
      <w:pPr>
        <w:jc w:val="both"/>
        <w:rPr>
          <w:rFonts w:ascii="Arial" w:hAnsi="Arial" w:cs="Arial"/>
        </w:rPr>
      </w:pPr>
      <w:r w:rsidRPr="00C16EB2">
        <w:rPr>
          <w:rFonts w:ascii="Arial" w:hAnsi="Arial" w:cs="Arial"/>
          <w:b/>
          <w:bCs/>
          <w:lang w:val="en-US"/>
        </w:rPr>
        <w:t>Yield:</w:t>
      </w:r>
      <w:r w:rsidRPr="00C16EB2">
        <w:rPr>
          <w:rFonts w:ascii="Arial" w:hAnsi="Arial" w:cs="Arial"/>
          <w:lang w:val="en-US"/>
        </w:rPr>
        <w:t xml:space="preserve"> The rate of return on the bond. While coupon is fixed, yield is variable and depends on a bond’s price in the secondary market and other factors. Yield can be expressed as current yield, yield to </w:t>
      </w:r>
      <w:proofErr w:type="gramStart"/>
      <w:r w:rsidRPr="00C16EB2">
        <w:rPr>
          <w:rFonts w:ascii="Arial" w:hAnsi="Arial" w:cs="Arial"/>
          <w:lang w:val="en-US"/>
        </w:rPr>
        <w:t>maturity</w:t>
      </w:r>
      <w:proofErr w:type="gramEnd"/>
      <w:r w:rsidRPr="00C16EB2">
        <w:rPr>
          <w:rFonts w:ascii="Arial" w:hAnsi="Arial" w:cs="Arial"/>
          <w:lang w:val="en-US"/>
        </w:rPr>
        <w:t xml:space="preserve"> and yield to call.</w:t>
      </w:r>
    </w:p>
    <w:p w14:paraId="7766007B" w14:textId="77777777" w:rsidR="00C16EB2" w:rsidRPr="00C16EB2" w:rsidRDefault="00C16EB2" w:rsidP="00CD19B5">
      <w:pPr>
        <w:jc w:val="both"/>
        <w:rPr>
          <w:rFonts w:ascii="Arial" w:hAnsi="Arial" w:cs="Arial"/>
        </w:rPr>
      </w:pPr>
      <w:r w:rsidRPr="00C16EB2">
        <w:rPr>
          <w:rFonts w:ascii="Arial" w:hAnsi="Arial" w:cs="Arial"/>
          <w:b/>
          <w:bCs/>
          <w:lang w:val="en-US"/>
        </w:rPr>
        <w:t>Price:</w:t>
      </w:r>
      <w:r w:rsidRPr="00C16EB2">
        <w:rPr>
          <w:rFonts w:ascii="Arial" w:hAnsi="Arial" w:cs="Arial"/>
          <w:lang w:val="en-US"/>
        </w:rPr>
        <w:t xml:space="preserve"> Many if not most bonds are traded after </w:t>
      </w:r>
      <w:proofErr w:type="gramStart"/>
      <w:r w:rsidRPr="00C16EB2">
        <w:rPr>
          <w:rFonts w:ascii="Arial" w:hAnsi="Arial" w:cs="Arial"/>
          <w:lang w:val="en-US"/>
        </w:rPr>
        <w:t>they’ve</w:t>
      </w:r>
      <w:proofErr w:type="gramEnd"/>
      <w:r w:rsidRPr="00C16EB2">
        <w:rPr>
          <w:rFonts w:ascii="Arial" w:hAnsi="Arial" w:cs="Arial"/>
          <w:lang w:val="en-US"/>
        </w:rPr>
        <w:t xml:space="preserve"> been issued. In the market, bonds have two prices: bid and ask. The bid price is the highest amount a buyer is willing to pay for a bond, while ask price is the lowest price offered by a seller.</w:t>
      </w:r>
    </w:p>
    <w:p w14:paraId="1F2D78A1" w14:textId="77777777" w:rsidR="00C16EB2" w:rsidRPr="00C16EB2" w:rsidRDefault="00C16EB2" w:rsidP="00CD19B5">
      <w:pPr>
        <w:jc w:val="both"/>
        <w:rPr>
          <w:rFonts w:ascii="Arial" w:hAnsi="Arial" w:cs="Arial"/>
        </w:rPr>
      </w:pPr>
      <w:r w:rsidRPr="00C16EB2">
        <w:rPr>
          <w:rFonts w:ascii="Arial" w:hAnsi="Arial" w:cs="Arial"/>
          <w:b/>
          <w:bCs/>
          <w:lang w:val="en-US"/>
        </w:rPr>
        <w:t>Duration risk: </w:t>
      </w:r>
      <w:r w:rsidRPr="00C16EB2">
        <w:rPr>
          <w:rFonts w:ascii="Arial" w:hAnsi="Arial" w:cs="Arial"/>
          <w:lang w:val="en-US"/>
        </w:rPr>
        <w:t xml:space="preserve">This is a measure of how a bond’s price might change as market interest rates fluctuate. Experts suggest that a bond will decrease 1% in price for every 1% increase in interest rates. The longer a bond’s duration, the higher exposure its price </w:t>
      </w:r>
      <w:proofErr w:type="gramStart"/>
      <w:r w:rsidRPr="00C16EB2">
        <w:rPr>
          <w:rFonts w:ascii="Arial" w:hAnsi="Arial" w:cs="Arial"/>
          <w:lang w:val="en-US"/>
        </w:rPr>
        <w:t>has to</w:t>
      </w:r>
      <w:proofErr w:type="gramEnd"/>
      <w:r w:rsidRPr="00C16EB2">
        <w:rPr>
          <w:rFonts w:ascii="Arial" w:hAnsi="Arial" w:cs="Arial"/>
          <w:lang w:val="en-US"/>
        </w:rPr>
        <w:t xml:space="preserve"> changes in interest rates.</w:t>
      </w:r>
    </w:p>
    <w:p w14:paraId="2E797B67" w14:textId="77777777" w:rsidR="00C16EB2" w:rsidRPr="00C16EB2" w:rsidRDefault="00C16EB2" w:rsidP="00CD19B5">
      <w:pPr>
        <w:jc w:val="both"/>
        <w:rPr>
          <w:rFonts w:ascii="Arial" w:hAnsi="Arial" w:cs="Arial"/>
        </w:rPr>
      </w:pPr>
      <w:r w:rsidRPr="00C16EB2">
        <w:rPr>
          <w:rFonts w:ascii="Arial" w:hAnsi="Arial" w:cs="Arial"/>
          <w:b/>
          <w:bCs/>
          <w:lang w:val="en-US"/>
        </w:rPr>
        <w:t>Rating:</w:t>
      </w:r>
      <w:r w:rsidRPr="00C16EB2">
        <w:rPr>
          <w:rFonts w:ascii="Arial" w:hAnsi="Arial" w:cs="Arial"/>
          <w:lang w:val="en-US"/>
        </w:rPr>
        <w:t> Rating agencies assign ratings to bonds and bond issuers, based on their creditworthiness. Bond ratings help investors understand the risk of investing in bonds. Investment-grade bonds have ratings of BBB or better.</w:t>
      </w:r>
    </w:p>
    <w:p w14:paraId="2DDA1999" w14:textId="0F218C8A" w:rsidR="00C16EB2" w:rsidRPr="00A55C63" w:rsidRDefault="00CD19B5" w:rsidP="00CD19B5">
      <w:pPr>
        <w:ind w:left="1440" w:firstLine="720"/>
        <w:jc w:val="both"/>
        <w:rPr>
          <w:rFonts w:ascii="Arial" w:hAnsi="Arial" w:cs="Arial"/>
          <w:b/>
          <w:bCs/>
          <w:lang w:val="en-US"/>
        </w:rPr>
      </w:pPr>
      <w:r w:rsidRPr="00A55C63">
        <w:rPr>
          <w:rFonts w:ascii="Arial" w:hAnsi="Arial" w:cs="Arial"/>
          <w:b/>
          <w:bCs/>
          <w:lang w:val="en-US"/>
        </w:rPr>
        <w:t>Importance of Bonds</w:t>
      </w:r>
    </w:p>
    <w:p w14:paraId="02A58F22" w14:textId="42DF816B" w:rsidR="00CD19B5" w:rsidRDefault="00CD19B5" w:rsidP="00A55C63">
      <w:pPr>
        <w:pStyle w:val="ListParagraph"/>
        <w:numPr>
          <w:ilvl w:val="0"/>
          <w:numId w:val="16"/>
        </w:numPr>
        <w:ind w:left="360"/>
        <w:jc w:val="both"/>
        <w:rPr>
          <w:rFonts w:ascii="Arial" w:hAnsi="Arial" w:cs="Arial"/>
          <w:lang w:val="en-US"/>
        </w:rPr>
      </w:pPr>
      <w:r>
        <w:rPr>
          <w:rFonts w:ascii="Arial" w:hAnsi="Arial" w:cs="Arial"/>
          <w:lang w:val="en-US"/>
        </w:rPr>
        <w:t>Stable and safe investment destination</w:t>
      </w:r>
      <w:r w:rsidR="006166E6">
        <w:rPr>
          <w:rFonts w:ascii="Arial" w:hAnsi="Arial" w:cs="Arial"/>
          <w:lang w:val="en-US"/>
        </w:rPr>
        <w:t xml:space="preserve">. Bonds are fixed income instruments which have a fixed coupon rate and they provide a stable income consistently throughout its tenure since the tenure is fixed, the interest received is also for a fixed term. The investor knows what is the amount of interest he is going to receive from the bond investment. This acts stability to the investment and </w:t>
      </w:r>
      <w:proofErr w:type="gramStart"/>
      <w:r w:rsidR="006166E6">
        <w:rPr>
          <w:rFonts w:ascii="Arial" w:hAnsi="Arial" w:cs="Arial"/>
          <w:lang w:val="en-US"/>
        </w:rPr>
        <w:t>those  investors</w:t>
      </w:r>
      <w:proofErr w:type="gramEnd"/>
      <w:r w:rsidR="006166E6">
        <w:rPr>
          <w:rFonts w:ascii="Arial" w:hAnsi="Arial" w:cs="Arial"/>
          <w:lang w:val="en-US"/>
        </w:rPr>
        <w:t xml:space="preserve"> who are having low risk profile will prefer to go in for a predictable investment rather than the equities.</w:t>
      </w:r>
    </w:p>
    <w:p w14:paraId="2468C00E" w14:textId="26285568" w:rsidR="00CD19B5" w:rsidRDefault="00CD19B5" w:rsidP="00A55C63">
      <w:pPr>
        <w:pStyle w:val="ListParagraph"/>
        <w:numPr>
          <w:ilvl w:val="0"/>
          <w:numId w:val="16"/>
        </w:numPr>
        <w:ind w:left="360"/>
        <w:jc w:val="both"/>
        <w:rPr>
          <w:rFonts w:ascii="Arial" w:hAnsi="Arial" w:cs="Arial"/>
          <w:lang w:val="en-US"/>
        </w:rPr>
      </w:pPr>
      <w:r>
        <w:rPr>
          <w:rFonts w:ascii="Arial" w:hAnsi="Arial" w:cs="Arial"/>
          <w:lang w:val="en-US"/>
        </w:rPr>
        <w:lastRenderedPageBreak/>
        <w:t>Diversification of portfolio in case of</w:t>
      </w:r>
      <w:r w:rsidR="006166E6">
        <w:rPr>
          <w:rFonts w:ascii="Arial" w:hAnsi="Arial" w:cs="Arial"/>
          <w:lang w:val="en-US"/>
        </w:rPr>
        <w:t xml:space="preserve"> mutual funds. Mutual funds specially in the case of hybrid mutual funds, the investors are more interested in diversifying their portfolio as they wish to get the best out of the high </w:t>
      </w:r>
      <w:proofErr w:type="gramStart"/>
      <w:r w:rsidR="006166E6">
        <w:rPr>
          <w:rFonts w:ascii="Arial" w:hAnsi="Arial" w:cs="Arial"/>
          <w:lang w:val="en-US"/>
        </w:rPr>
        <w:t>returns</w:t>
      </w:r>
      <w:proofErr w:type="gramEnd"/>
      <w:r w:rsidR="006166E6">
        <w:rPr>
          <w:rFonts w:ascii="Arial" w:hAnsi="Arial" w:cs="Arial"/>
          <w:lang w:val="en-US"/>
        </w:rPr>
        <w:t xml:space="preserve"> equity portfolio and the stability from the bond portfolio. Since the diversification reduces the risk the mutual fund managers have an opportunity to divide their assets among the bonds and the equity shares. They will be consistently transferring the investments from and to the bond portfolio as per the market volatility and returns.</w:t>
      </w:r>
    </w:p>
    <w:p w14:paraId="06D258EF" w14:textId="1ADC4926" w:rsidR="006166E6" w:rsidRDefault="006166E6" w:rsidP="00A55C63">
      <w:pPr>
        <w:pStyle w:val="ListParagraph"/>
        <w:numPr>
          <w:ilvl w:val="0"/>
          <w:numId w:val="16"/>
        </w:numPr>
        <w:ind w:left="360"/>
        <w:jc w:val="both"/>
        <w:rPr>
          <w:rFonts w:ascii="Arial" w:hAnsi="Arial" w:cs="Arial"/>
          <w:lang w:val="en-US"/>
        </w:rPr>
      </w:pPr>
      <w:r>
        <w:rPr>
          <w:rFonts w:ascii="Arial" w:hAnsi="Arial" w:cs="Arial"/>
          <w:lang w:val="en-US"/>
        </w:rPr>
        <w:t xml:space="preserve">Long term investment destination. Bonds are issued for a long. Usually ranging from 10 years to 40 years this provides an opportunity to the investors to invest for a long. Several investors who are investing in pension funds insurance </w:t>
      </w:r>
      <w:proofErr w:type="spellStart"/>
      <w:r>
        <w:rPr>
          <w:rFonts w:ascii="Arial" w:hAnsi="Arial" w:cs="Arial"/>
          <w:lang w:val="en-US"/>
        </w:rPr>
        <w:t>etc</w:t>
      </w:r>
      <w:proofErr w:type="spellEnd"/>
      <w:r>
        <w:rPr>
          <w:rFonts w:ascii="Arial" w:hAnsi="Arial" w:cs="Arial"/>
          <w:lang w:val="en-US"/>
        </w:rPr>
        <w:t xml:space="preserve"> they </w:t>
      </w:r>
      <w:proofErr w:type="gramStart"/>
      <w:r>
        <w:rPr>
          <w:rFonts w:ascii="Arial" w:hAnsi="Arial" w:cs="Arial"/>
          <w:lang w:val="en-US"/>
        </w:rPr>
        <w:t>stands</w:t>
      </w:r>
      <w:proofErr w:type="gramEnd"/>
      <w:r>
        <w:rPr>
          <w:rFonts w:ascii="Arial" w:hAnsi="Arial" w:cs="Arial"/>
          <w:lang w:val="en-US"/>
        </w:rPr>
        <w:t xml:space="preserve"> to gain from a </w:t>
      </w:r>
      <w:r w:rsidR="003E06BC">
        <w:rPr>
          <w:rFonts w:ascii="Arial" w:hAnsi="Arial" w:cs="Arial"/>
          <w:lang w:val="en-US"/>
        </w:rPr>
        <w:t xml:space="preserve">long </w:t>
      </w:r>
      <w:r>
        <w:rPr>
          <w:rFonts w:ascii="Arial" w:hAnsi="Arial" w:cs="Arial"/>
          <w:lang w:val="en-US"/>
        </w:rPr>
        <w:t>investment as the bonds which are held till maturity will be providing both the interest as well as the capital which has been promised at the beginning of the issue</w:t>
      </w:r>
    </w:p>
    <w:p w14:paraId="6F20EEEB" w14:textId="624C81E1" w:rsidR="006166E6" w:rsidRDefault="006166E6" w:rsidP="00A55C63">
      <w:pPr>
        <w:pStyle w:val="ListParagraph"/>
        <w:numPr>
          <w:ilvl w:val="0"/>
          <w:numId w:val="16"/>
        </w:numPr>
        <w:ind w:left="360"/>
        <w:jc w:val="both"/>
        <w:rPr>
          <w:rFonts w:ascii="Arial" w:hAnsi="Arial" w:cs="Arial"/>
          <w:lang w:val="en-US"/>
        </w:rPr>
      </w:pPr>
      <w:r>
        <w:rPr>
          <w:rFonts w:ascii="Arial" w:hAnsi="Arial" w:cs="Arial"/>
          <w:lang w:val="en-US"/>
        </w:rPr>
        <w:t>Source of raising capital</w:t>
      </w:r>
      <w:r w:rsidR="003E06BC">
        <w:rPr>
          <w:rFonts w:ascii="Arial" w:hAnsi="Arial" w:cs="Arial"/>
          <w:lang w:val="en-US"/>
        </w:rPr>
        <w:t xml:space="preserve">. Corporate issuing bonds or debentures are issuing them for the intention of raising capital. The corporates have an option of raising capital from the equities as well as from the debt market. </w:t>
      </w:r>
      <w:proofErr w:type="gramStart"/>
      <w:r w:rsidR="003E06BC">
        <w:rPr>
          <w:rFonts w:ascii="Arial" w:hAnsi="Arial" w:cs="Arial"/>
          <w:lang w:val="en-US"/>
        </w:rPr>
        <w:t>However</w:t>
      </w:r>
      <w:proofErr w:type="gramEnd"/>
      <w:r w:rsidR="003E06BC">
        <w:rPr>
          <w:rFonts w:ascii="Arial" w:hAnsi="Arial" w:cs="Arial"/>
          <w:lang w:val="en-US"/>
        </w:rPr>
        <w:t xml:space="preserve"> if they are going for issuing of equity shares they will have to part with the ownership of the company which most of the companies are not in </w:t>
      </w:r>
      <w:proofErr w:type="spellStart"/>
      <w:r w:rsidR="003E06BC">
        <w:rPr>
          <w:rFonts w:ascii="Arial" w:hAnsi="Arial" w:cs="Arial"/>
          <w:lang w:val="en-US"/>
        </w:rPr>
        <w:t>favour</w:t>
      </w:r>
      <w:proofErr w:type="spellEnd"/>
      <w:r w:rsidR="003E06BC">
        <w:rPr>
          <w:rFonts w:ascii="Arial" w:hAnsi="Arial" w:cs="Arial"/>
          <w:lang w:val="en-US"/>
        </w:rPr>
        <w:t xml:space="preserve"> of.</w:t>
      </w:r>
    </w:p>
    <w:p w14:paraId="5606FB3A" w14:textId="642778B7" w:rsidR="006166E6" w:rsidRDefault="006166E6" w:rsidP="00A55C63">
      <w:pPr>
        <w:pStyle w:val="ListParagraph"/>
        <w:numPr>
          <w:ilvl w:val="0"/>
          <w:numId w:val="16"/>
        </w:numPr>
        <w:ind w:left="360"/>
        <w:jc w:val="both"/>
        <w:rPr>
          <w:rFonts w:ascii="Arial" w:hAnsi="Arial" w:cs="Arial"/>
          <w:lang w:val="en-US"/>
        </w:rPr>
      </w:pPr>
      <w:r>
        <w:rPr>
          <w:rFonts w:ascii="Arial" w:hAnsi="Arial" w:cs="Arial"/>
          <w:lang w:val="en-US"/>
        </w:rPr>
        <w:t>Means of adjusting liquidity constraints and inflation controlling mechanism</w:t>
      </w:r>
      <w:r w:rsidR="003E06BC">
        <w:rPr>
          <w:rFonts w:ascii="Arial" w:hAnsi="Arial" w:cs="Arial"/>
          <w:lang w:val="en-US"/>
        </w:rPr>
        <w:t>. The central banks use issuing of bonds and buyback of the bonds to control the liquidity and hence the inflation. If the bonds are issued the liquidity in the system or economy is sucked out and hence the inflation is brought down However when growth is required liquidity needs to be infused in the markets and the bonds are bought back by the central banks through which liquidity is passed on to the economy. While this may increase the inflation to some extent however the increase of growth and employment is much important.</w:t>
      </w:r>
    </w:p>
    <w:p w14:paraId="680E1173" w14:textId="3D208958" w:rsidR="006166E6" w:rsidRDefault="006166E6" w:rsidP="00A55C63">
      <w:pPr>
        <w:pStyle w:val="ListParagraph"/>
        <w:numPr>
          <w:ilvl w:val="0"/>
          <w:numId w:val="16"/>
        </w:numPr>
        <w:ind w:left="360"/>
        <w:jc w:val="both"/>
        <w:rPr>
          <w:rFonts w:ascii="Arial" w:hAnsi="Arial" w:cs="Arial"/>
          <w:lang w:val="en-US"/>
        </w:rPr>
      </w:pPr>
      <w:r>
        <w:rPr>
          <w:rFonts w:ascii="Arial" w:hAnsi="Arial" w:cs="Arial"/>
          <w:lang w:val="en-US"/>
        </w:rPr>
        <w:t>Helps in international capital flows according to sovereign ratings</w:t>
      </w:r>
      <w:r w:rsidR="003E06BC">
        <w:rPr>
          <w:rFonts w:ascii="Arial" w:hAnsi="Arial" w:cs="Arial"/>
          <w:lang w:val="en-US"/>
        </w:rPr>
        <w:t xml:space="preserve">. Large international investors are interested in buying bonds in some countries which are issued by their respective governments China was an important buyer of US treasuries Similarly bonds which are issued by Indian government are now going to be of </w:t>
      </w:r>
      <w:proofErr w:type="spellStart"/>
      <w:r w:rsidR="003E06BC">
        <w:rPr>
          <w:rFonts w:ascii="Arial" w:hAnsi="Arial" w:cs="Arial"/>
          <w:lang w:val="en-US"/>
        </w:rPr>
        <w:t>favour</w:t>
      </w:r>
      <w:proofErr w:type="spellEnd"/>
      <w:r w:rsidR="003E06BC">
        <w:rPr>
          <w:rFonts w:ascii="Arial" w:hAnsi="Arial" w:cs="Arial"/>
          <w:lang w:val="en-US"/>
        </w:rPr>
        <w:t xml:space="preserve"> among the international investors as they are getting included in the J P Morgan and Bloomberg Indices</w:t>
      </w:r>
    </w:p>
    <w:p w14:paraId="02FEF804" w14:textId="77777777" w:rsidR="006166E6" w:rsidRPr="00CD19B5" w:rsidRDefault="006166E6" w:rsidP="006166E6">
      <w:pPr>
        <w:pStyle w:val="ListParagraph"/>
        <w:jc w:val="both"/>
        <w:rPr>
          <w:rFonts w:ascii="Arial" w:hAnsi="Arial" w:cs="Arial"/>
          <w:lang w:val="en-US"/>
        </w:rPr>
      </w:pPr>
    </w:p>
    <w:p w14:paraId="4DAE54B1" w14:textId="2CDAFDF2" w:rsidR="00C16EB2" w:rsidRPr="00A55C63" w:rsidRDefault="00C16EB2" w:rsidP="00B1398C">
      <w:pPr>
        <w:jc w:val="both"/>
        <w:rPr>
          <w:rFonts w:ascii="Arial" w:hAnsi="Arial" w:cs="Arial"/>
          <w:b/>
          <w:bCs/>
          <w:sz w:val="24"/>
          <w:szCs w:val="24"/>
          <w:lang w:val="en-US"/>
        </w:rPr>
      </w:pPr>
      <w:r>
        <w:rPr>
          <w:rFonts w:ascii="Arial" w:hAnsi="Arial" w:cs="Arial"/>
          <w:lang w:val="en-US"/>
        </w:rPr>
        <w:tab/>
      </w:r>
      <w:r>
        <w:rPr>
          <w:rFonts w:ascii="Arial" w:hAnsi="Arial" w:cs="Arial"/>
          <w:lang w:val="en-US"/>
        </w:rPr>
        <w:tab/>
      </w:r>
      <w:r>
        <w:rPr>
          <w:rFonts w:ascii="Arial" w:hAnsi="Arial" w:cs="Arial"/>
          <w:lang w:val="en-US"/>
        </w:rPr>
        <w:tab/>
      </w:r>
      <w:r w:rsidRPr="00A55C63">
        <w:rPr>
          <w:rFonts w:ascii="Arial" w:hAnsi="Arial" w:cs="Arial"/>
          <w:b/>
          <w:bCs/>
          <w:lang w:val="en-US"/>
        </w:rPr>
        <w:t>Types of B</w:t>
      </w:r>
      <w:r w:rsidRPr="00A55C63">
        <w:rPr>
          <w:rFonts w:ascii="Arial" w:hAnsi="Arial" w:cs="Arial"/>
          <w:b/>
          <w:bCs/>
          <w:sz w:val="24"/>
          <w:szCs w:val="24"/>
          <w:lang w:val="en-US"/>
        </w:rPr>
        <w:t>onds</w:t>
      </w:r>
    </w:p>
    <w:p w14:paraId="251E12C2"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 xml:space="preserve">Plain vanilla </w:t>
      </w:r>
      <w:proofErr w:type="gramStart"/>
      <w:r w:rsidRPr="00C16EB2">
        <w:rPr>
          <w:rFonts w:ascii="Arial" w:hAnsi="Arial" w:cs="Arial"/>
          <w:sz w:val="24"/>
          <w:szCs w:val="24"/>
          <w:lang w:val="en-US"/>
        </w:rPr>
        <w:t>bond :</w:t>
      </w:r>
      <w:proofErr w:type="gramEnd"/>
    </w:p>
    <w:p w14:paraId="0DC264DC"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 xml:space="preserve">Plain vanilla bond is the simplest form of debt. It requires the periodical payment of interest at a fixed rate. The principal amount is required to be returned with the maturity of the </w:t>
      </w:r>
      <w:proofErr w:type="gramStart"/>
      <w:r w:rsidRPr="00C16EB2">
        <w:rPr>
          <w:rFonts w:ascii="Arial" w:hAnsi="Arial" w:cs="Arial"/>
          <w:sz w:val="24"/>
          <w:szCs w:val="24"/>
          <w:lang w:val="en-US"/>
        </w:rPr>
        <w:t>bond .</w:t>
      </w:r>
      <w:proofErr w:type="gramEnd"/>
      <w:r w:rsidRPr="00C16EB2">
        <w:rPr>
          <w:rFonts w:ascii="Arial" w:hAnsi="Arial" w:cs="Arial"/>
          <w:sz w:val="24"/>
          <w:szCs w:val="24"/>
          <w:lang w:val="en-US"/>
        </w:rPr>
        <w:t xml:space="preserve"> This type of bond also </w:t>
      </w:r>
      <w:proofErr w:type="gramStart"/>
      <w:r w:rsidRPr="00C16EB2">
        <w:rPr>
          <w:rFonts w:ascii="Arial" w:hAnsi="Arial" w:cs="Arial"/>
          <w:sz w:val="24"/>
          <w:szCs w:val="24"/>
          <w:lang w:val="en-US"/>
        </w:rPr>
        <w:t>allow</w:t>
      </w:r>
      <w:proofErr w:type="gramEnd"/>
      <w:r w:rsidRPr="00C16EB2">
        <w:rPr>
          <w:rFonts w:ascii="Arial" w:hAnsi="Arial" w:cs="Arial"/>
          <w:sz w:val="24"/>
          <w:szCs w:val="24"/>
          <w:lang w:val="en-US"/>
        </w:rPr>
        <w:t xml:space="preserve"> slight variations in redemption price or make changes in the payment of frequency of interest quarterly, monthly, or annually.</w:t>
      </w:r>
      <w:r w:rsidRPr="00C16EB2">
        <w:rPr>
          <w:rFonts w:ascii="Arial" w:hAnsi="Arial" w:cs="Arial"/>
          <w:sz w:val="24"/>
          <w:szCs w:val="24"/>
          <w:lang w:val="en-US"/>
        </w:rPr>
        <w:br/>
      </w:r>
      <w:r w:rsidRPr="00C16EB2">
        <w:rPr>
          <w:rFonts w:ascii="Arial" w:hAnsi="Arial" w:cs="Arial"/>
          <w:sz w:val="24"/>
          <w:szCs w:val="24"/>
          <w:lang w:val="en-US"/>
        </w:rPr>
        <w:br/>
        <w:t>Zero coupon bond</w:t>
      </w:r>
    </w:p>
    <w:p w14:paraId="75A4113A"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 xml:space="preserve">Zero coupon bond are such that they do not pay any coupons during the period of bond. This kind of bond is issued at a discount to the face value and redeemed at face value. The benefit gained from this kind of bond is the discounted price in face value and its difference with face value price while </w:t>
      </w:r>
      <w:proofErr w:type="gramStart"/>
      <w:r w:rsidRPr="00C16EB2">
        <w:rPr>
          <w:rFonts w:ascii="Arial" w:hAnsi="Arial" w:cs="Arial"/>
          <w:sz w:val="24"/>
          <w:szCs w:val="24"/>
          <w:lang w:val="en-US"/>
        </w:rPr>
        <w:t>redeeming .</w:t>
      </w:r>
      <w:proofErr w:type="gramEnd"/>
      <w:r w:rsidRPr="00C16EB2">
        <w:rPr>
          <w:rFonts w:ascii="Arial" w:hAnsi="Arial" w:cs="Arial"/>
          <w:sz w:val="24"/>
          <w:szCs w:val="24"/>
          <w:lang w:val="en-US"/>
        </w:rPr>
        <w:t xml:space="preserve"> Especially, in this kind of bond there must be no intermediate payments of coupon during the term of </w:t>
      </w:r>
      <w:r w:rsidRPr="00C16EB2">
        <w:rPr>
          <w:rFonts w:ascii="Arial" w:hAnsi="Arial" w:cs="Arial"/>
          <w:sz w:val="24"/>
          <w:szCs w:val="24"/>
          <w:lang w:val="en-US"/>
        </w:rPr>
        <w:lastRenderedPageBreak/>
        <w:t>bond.</w:t>
      </w:r>
      <w:r w:rsidRPr="00C16EB2">
        <w:rPr>
          <w:rFonts w:ascii="Arial" w:hAnsi="Arial" w:cs="Arial"/>
          <w:sz w:val="24"/>
          <w:szCs w:val="24"/>
          <w:lang w:val="en-US"/>
        </w:rPr>
        <w:br/>
      </w:r>
      <w:r w:rsidRPr="00C16EB2">
        <w:rPr>
          <w:rFonts w:ascii="Arial" w:hAnsi="Arial" w:cs="Arial"/>
          <w:sz w:val="24"/>
          <w:szCs w:val="24"/>
          <w:lang w:val="en-US"/>
        </w:rPr>
        <w:br/>
        <w:t>Floating rate bond</w:t>
      </w:r>
    </w:p>
    <w:p w14:paraId="6E3409D8" w14:textId="3235DEF3" w:rsidR="00C16EB2" w:rsidRPr="003E06BC" w:rsidRDefault="00C16EB2" w:rsidP="00CD19B5">
      <w:pPr>
        <w:rPr>
          <w:rFonts w:ascii="Arial" w:hAnsi="Arial" w:cs="Arial"/>
          <w:sz w:val="24"/>
          <w:szCs w:val="24"/>
          <w:lang w:val="en-US"/>
        </w:rPr>
      </w:pPr>
      <w:r w:rsidRPr="003E06BC">
        <w:rPr>
          <w:rFonts w:ascii="Arial" w:eastAsiaTheme="minorEastAsia" w:hAnsi="Arial" w:cs="Arial"/>
          <w:sz w:val="24"/>
          <w:szCs w:val="24"/>
          <w:lang w:val="en-US"/>
        </w:rPr>
        <w:t xml:space="preserve">Floating rate bonds could be regarded as those bonds in which the interest rate is not fixed. In this case a pre-determined benchmark is considered, and the interest rate is re-set periodically. These are also known as variable rate bonds and </w:t>
      </w:r>
      <w:proofErr w:type="gramStart"/>
      <w:r w:rsidRPr="003E06BC">
        <w:rPr>
          <w:rFonts w:ascii="Arial" w:eastAsiaTheme="minorEastAsia" w:hAnsi="Arial" w:cs="Arial"/>
          <w:sz w:val="24"/>
          <w:szCs w:val="24"/>
          <w:lang w:val="en-US"/>
        </w:rPr>
        <w:t>adjustable rate</w:t>
      </w:r>
      <w:proofErr w:type="gramEnd"/>
      <w:r w:rsidRPr="003E06BC">
        <w:rPr>
          <w:rFonts w:ascii="Arial" w:eastAsiaTheme="minorEastAsia" w:hAnsi="Arial" w:cs="Arial"/>
          <w:sz w:val="24"/>
          <w:szCs w:val="24"/>
          <w:lang w:val="en-US"/>
        </w:rPr>
        <w:t xml:space="preserve"> bonds. The referred terms are used only in cases when the coupon rates are set at longer intervals.</w:t>
      </w:r>
    </w:p>
    <w:p w14:paraId="33351B4C"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Callable bonds</w:t>
      </w:r>
    </w:p>
    <w:p w14:paraId="1764F7D9"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Callable bonds are of such nature that it allows the issuer to redeem the bonds before the original maturity date arrives. These kinds of bonds have call option in the contract which provides the issuer to make alterations in the period of the security. The main disadvantage in this kind of bond is that the investor might lose his position to secure higher interest. This is because the issuer might call bonds while the interest rates decline and then re-issue fresh bonds at lower interest.</w:t>
      </w:r>
      <w:r w:rsidRPr="00C16EB2">
        <w:rPr>
          <w:rFonts w:ascii="Arial" w:hAnsi="Arial" w:cs="Arial"/>
          <w:sz w:val="24"/>
          <w:szCs w:val="24"/>
          <w:lang w:val="en-US"/>
        </w:rPr>
        <w:br/>
        <w:t>Puttable bonds</w:t>
      </w:r>
    </w:p>
    <w:p w14:paraId="1784ED04"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 xml:space="preserve">Puttable bonds provide the investor a right to redeem bonds before its actual date of redemption. This is opposite from callable bonds because the investor has discretion to exit the bond at any point of </w:t>
      </w:r>
      <w:proofErr w:type="gramStart"/>
      <w:r w:rsidRPr="00C16EB2">
        <w:rPr>
          <w:rFonts w:ascii="Arial" w:hAnsi="Arial" w:cs="Arial"/>
          <w:sz w:val="24"/>
          <w:szCs w:val="24"/>
          <w:lang w:val="en-US"/>
        </w:rPr>
        <w:t>time .</w:t>
      </w:r>
      <w:proofErr w:type="gramEnd"/>
      <w:r w:rsidRPr="00C16EB2">
        <w:rPr>
          <w:rFonts w:ascii="Arial" w:hAnsi="Arial" w:cs="Arial"/>
          <w:sz w:val="24"/>
          <w:szCs w:val="24"/>
          <w:lang w:val="en-US"/>
        </w:rPr>
        <w:t xml:space="preserve"> The investors could exit from low coupon bonds and invest in high coupon bonds.</w:t>
      </w:r>
      <w:r w:rsidRPr="00C16EB2">
        <w:rPr>
          <w:rFonts w:ascii="Arial" w:hAnsi="Arial" w:cs="Arial"/>
          <w:sz w:val="24"/>
          <w:szCs w:val="24"/>
          <w:lang w:val="en-US"/>
        </w:rPr>
        <w:br/>
      </w:r>
      <w:r w:rsidRPr="00C16EB2">
        <w:rPr>
          <w:rFonts w:ascii="Arial" w:hAnsi="Arial" w:cs="Arial"/>
          <w:sz w:val="24"/>
          <w:szCs w:val="24"/>
          <w:lang w:val="en-US"/>
        </w:rPr>
        <w:br/>
        <w:t>Amortizing bonds</w:t>
      </w:r>
    </w:p>
    <w:p w14:paraId="24FBE261" w14:textId="61857A3C" w:rsidR="00C16EB2" w:rsidRPr="003E06BC" w:rsidRDefault="00C16EB2" w:rsidP="00CD19B5">
      <w:pPr>
        <w:rPr>
          <w:rFonts w:ascii="Arial" w:hAnsi="Arial" w:cs="Arial"/>
          <w:sz w:val="24"/>
          <w:szCs w:val="24"/>
          <w:lang w:val="en-US"/>
        </w:rPr>
      </w:pPr>
      <w:r w:rsidRPr="003E06BC">
        <w:rPr>
          <w:rFonts w:ascii="Arial" w:eastAsiaTheme="minorEastAsia" w:hAnsi="Arial" w:cs="Arial"/>
          <w:sz w:val="24"/>
          <w:szCs w:val="24"/>
          <w:lang w:val="en-US"/>
        </w:rPr>
        <w:t>Amortizing bonds refer to those bonds where the principal is not repaid when the bond matures. Payment is made periodically within the life cycle of bond. These periodic payments include both the interest and principal amount. Home loans, auto loans, and consumer loans are some examples of amortizing bonds.</w:t>
      </w:r>
    </w:p>
    <w:p w14:paraId="732E91F7"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Government securities</w:t>
      </w:r>
    </w:p>
    <w:p w14:paraId="5CA2B44E" w14:textId="77777777" w:rsidR="00C16EB2" w:rsidRPr="00C16EB2" w:rsidRDefault="00C16EB2" w:rsidP="00CD19B5">
      <w:pPr>
        <w:rPr>
          <w:rFonts w:ascii="Arial" w:hAnsi="Arial" w:cs="Arial"/>
          <w:sz w:val="24"/>
          <w:szCs w:val="24"/>
        </w:rPr>
      </w:pPr>
      <w:r w:rsidRPr="00C16EB2">
        <w:rPr>
          <w:rFonts w:ascii="Arial" w:hAnsi="Arial" w:cs="Arial"/>
          <w:sz w:val="24"/>
          <w:szCs w:val="24"/>
          <w:lang w:val="en-US"/>
        </w:rPr>
        <w:t xml:space="preserve">Government securities are those that include government bonds issued by governmental bodies at various levels. Government securities also known as G-secs include central governmental bonds, quasi-government bonds are issued by state, local, and municipal governments. Investment in government securities are secured because they could be considered free of default or credit </w:t>
      </w:r>
      <w:proofErr w:type="gramStart"/>
      <w:r w:rsidRPr="00C16EB2">
        <w:rPr>
          <w:rFonts w:ascii="Arial" w:hAnsi="Arial" w:cs="Arial"/>
          <w:sz w:val="24"/>
          <w:szCs w:val="24"/>
          <w:lang w:val="en-US"/>
        </w:rPr>
        <w:t>risk .</w:t>
      </w:r>
      <w:proofErr w:type="gramEnd"/>
      <w:r w:rsidRPr="00C16EB2">
        <w:rPr>
          <w:rFonts w:ascii="Arial" w:hAnsi="Arial" w:cs="Arial"/>
          <w:sz w:val="24"/>
          <w:szCs w:val="24"/>
          <w:lang w:val="en-US"/>
        </w:rPr>
        <w:t xml:space="preserve"> The government has authority to increase taxes for the purpose of meeting its obligations. Apart from that they could also borrow easily from others or print notes to repay the debts in extreme cases.</w:t>
      </w:r>
      <w:r w:rsidRPr="00C16EB2">
        <w:rPr>
          <w:rFonts w:ascii="Arial" w:hAnsi="Arial" w:cs="Arial"/>
          <w:sz w:val="24"/>
          <w:szCs w:val="24"/>
          <w:lang w:val="en-US"/>
        </w:rPr>
        <w:br/>
      </w:r>
      <w:r w:rsidRPr="00C16EB2">
        <w:rPr>
          <w:rFonts w:ascii="Arial" w:hAnsi="Arial" w:cs="Arial"/>
          <w:sz w:val="24"/>
          <w:szCs w:val="24"/>
          <w:lang w:val="en-US"/>
        </w:rPr>
        <w:br/>
        <w:t>Corporate bonds</w:t>
      </w:r>
    </w:p>
    <w:p w14:paraId="68EBECAD" w14:textId="77777777" w:rsidR="00C16EB2" w:rsidRPr="003E06BC" w:rsidRDefault="00C16EB2" w:rsidP="00CD19B5">
      <w:pPr>
        <w:rPr>
          <w:rFonts w:ascii="Arial" w:hAnsi="Arial" w:cs="Arial"/>
          <w:sz w:val="24"/>
          <w:szCs w:val="24"/>
          <w:lang w:val="en-US"/>
        </w:rPr>
      </w:pPr>
      <w:r w:rsidRPr="00C16EB2">
        <w:rPr>
          <w:rFonts w:ascii="Arial" w:hAnsi="Arial" w:cs="Arial"/>
          <w:sz w:val="24"/>
          <w:szCs w:val="24"/>
          <w:lang w:val="en-US"/>
        </w:rPr>
        <w:t xml:space="preserve">Corporate sector debt includes two sectors namely, the public sector units and private corporate sectors. The Corporate Bond Market is usually comprised of short-term commercial papers and long-term commercial papers. Certificate of deposit which comes under corporate bond market are short term debts issued by </w:t>
      </w:r>
      <w:proofErr w:type="gramStart"/>
      <w:r w:rsidRPr="00C16EB2">
        <w:rPr>
          <w:rFonts w:ascii="Arial" w:hAnsi="Arial" w:cs="Arial"/>
          <w:sz w:val="24"/>
          <w:szCs w:val="24"/>
          <w:lang w:val="en-US"/>
        </w:rPr>
        <w:t>banks .</w:t>
      </w:r>
      <w:proofErr w:type="gramEnd"/>
      <w:r w:rsidRPr="00C16EB2">
        <w:rPr>
          <w:rFonts w:ascii="Arial" w:hAnsi="Arial" w:cs="Arial"/>
          <w:sz w:val="24"/>
          <w:szCs w:val="24"/>
          <w:lang w:val="en-US"/>
        </w:rPr>
        <w:t xml:space="preserve"> The rate fixed by corporates, banks, and institutions depend upon the credit quality </w:t>
      </w:r>
      <w:r w:rsidRPr="00C16EB2">
        <w:rPr>
          <w:rFonts w:ascii="Arial" w:hAnsi="Arial" w:cs="Arial"/>
          <w:sz w:val="24"/>
          <w:szCs w:val="24"/>
          <w:lang w:val="en-US"/>
        </w:rPr>
        <w:lastRenderedPageBreak/>
        <w:t xml:space="preserve">of borrower. The default risk or credit risk is measured by credit rating of the bond. If the credit rating is higher </w:t>
      </w:r>
      <w:proofErr w:type="spellStart"/>
      <w:r w:rsidRPr="00C16EB2">
        <w:rPr>
          <w:rFonts w:ascii="Arial" w:hAnsi="Arial" w:cs="Arial"/>
          <w:sz w:val="24"/>
          <w:szCs w:val="24"/>
          <w:lang w:val="en-US"/>
        </w:rPr>
        <w:t>then</w:t>
      </w:r>
      <w:proofErr w:type="spellEnd"/>
      <w:r w:rsidRPr="00C16EB2">
        <w:rPr>
          <w:rFonts w:ascii="Arial" w:hAnsi="Arial" w:cs="Arial"/>
          <w:sz w:val="24"/>
          <w:szCs w:val="24"/>
          <w:lang w:val="en-US"/>
        </w:rPr>
        <w:t xml:space="preserve"> the risk of default becomes less.</w:t>
      </w:r>
    </w:p>
    <w:p w14:paraId="62691380" w14:textId="4AF8E100" w:rsidR="00C16EB2" w:rsidRPr="00C16EB2" w:rsidRDefault="00CD19B5" w:rsidP="00CD19B5">
      <w:pPr>
        <w:rPr>
          <w:rFonts w:ascii="Arial" w:hAnsi="Arial" w:cs="Arial"/>
        </w:rPr>
      </w:pPr>
      <w:r w:rsidRPr="00CD19B5">
        <w:rPr>
          <w:rFonts w:ascii="Arial" w:hAnsi="Arial" w:cs="Arial"/>
          <w:noProof/>
        </w:rPr>
        <w:drawing>
          <wp:inline distT="0" distB="0" distL="0" distR="0" wp14:anchorId="48DC99D6" wp14:editId="7DFDFB4B">
            <wp:extent cx="5731510" cy="6096000"/>
            <wp:effectExtent l="0" t="0" r="2540" b="0"/>
            <wp:docPr id="1026" name="Picture 2" descr="https://www.fidelity.com.sg/static/singapore/images/article/bond-investing-made-simple/feature_colourful-names-of-bond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https://www.fidelity.com.sg/static/singapore/images/article/bond-investing-made-simple/feature_colourful-names-of-bonds.jpg"/>
                    <pic:cNvPicPr>
                      <a:picLocks noGrp="1"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6096000"/>
                    </a:xfrm>
                    <a:prstGeom prst="rect">
                      <a:avLst/>
                    </a:prstGeom>
                    <a:noFill/>
                  </pic:spPr>
                </pic:pic>
              </a:graphicData>
            </a:graphic>
          </wp:inline>
        </w:drawing>
      </w:r>
    </w:p>
    <w:p w14:paraId="08D7C194" w14:textId="42D50697" w:rsidR="00C16EB2" w:rsidRPr="00806B25" w:rsidRDefault="00806B25" w:rsidP="00806B25">
      <w:pPr>
        <w:ind w:left="2160"/>
        <w:jc w:val="both"/>
        <w:rPr>
          <w:rFonts w:ascii="Arial" w:hAnsi="Arial" w:cs="Arial"/>
          <w:b/>
          <w:bCs/>
          <w:lang w:val="en-US"/>
        </w:rPr>
      </w:pPr>
      <w:r>
        <w:rPr>
          <w:rFonts w:ascii="Arial" w:hAnsi="Arial" w:cs="Arial"/>
          <w:lang w:val="en-US"/>
        </w:rPr>
        <w:t xml:space="preserve">       </w:t>
      </w:r>
      <w:r w:rsidR="003E06BC" w:rsidRPr="00806B25">
        <w:rPr>
          <w:rFonts w:ascii="Arial" w:hAnsi="Arial" w:cs="Arial"/>
          <w:b/>
          <w:bCs/>
          <w:lang w:val="en-US"/>
        </w:rPr>
        <w:t>Rating of fixed income instruments</w:t>
      </w:r>
    </w:p>
    <w:p w14:paraId="06CA156E" w14:textId="77777777" w:rsidR="00806B25" w:rsidRDefault="00806B25" w:rsidP="00806B25">
      <w:pPr>
        <w:jc w:val="both"/>
        <w:rPr>
          <w:rFonts w:ascii="Arial" w:hAnsi="Arial" w:cs="Arial"/>
          <w:lang w:val="en-US"/>
        </w:rPr>
      </w:pPr>
      <w:r w:rsidRPr="00806B25">
        <w:rPr>
          <w:rFonts w:ascii="Arial" w:hAnsi="Arial" w:cs="Arial"/>
          <w:lang w:val="en-US"/>
        </w:rPr>
        <w:t>Credit rating is a qualitative &amp; quantitative assessment of the probability of default on payment of interest and principal on a debt instrument. It is not a recommendation to buy, sell or hold a debt instrument. Credit Rating only provides an additional input to the investor and the investor is required to make his own independent and objective analysis before arriving at an investment decision.</w:t>
      </w:r>
      <w:r>
        <w:rPr>
          <w:rFonts w:ascii="Arial" w:hAnsi="Arial" w:cs="Arial"/>
          <w:lang w:val="en-US"/>
        </w:rPr>
        <w:t xml:space="preserve"> </w:t>
      </w:r>
      <w:r w:rsidRPr="00806B25">
        <w:rPr>
          <w:rFonts w:ascii="Arial" w:hAnsi="Arial" w:cs="Arial"/>
          <w:lang w:val="en-US"/>
        </w:rPr>
        <w:t xml:space="preserve">Ratings are based on a comprehensive evaluation of the strengths and weaknesses of the company fundamentals including financials along with an in-depth study of the industry as well as macroeconomic, </w:t>
      </w:r>
      <w:proofErr w:type="gramStart"/>
      <w:r w:rsidRPr="00806B25">
        <w:rPr>
          <w:rFonts w:ascii="Arial" w:hAnsi="Arial" w:cs="Arial"/>
          <w:lang w:val="en-US"/>
        </w:rPr>
        <w:t>regulatory</w:t>
      </w:r>
      <w:proofErr w:type="gramEnd"/>
      <w:r w:rsidRPr="00806B25">
        <w:rPr>
          <w:rFonts w:ascii="Arial" w:hAnsi="Arial" w:cs="Arial"/>
          <w:lang w:val="en-US"/>
        </w:rPr>
        <w:t xml:space="preserve"> and political environment.</w:t>
      </w:r>
    </w:p>
    <w:p w14:paraId="71902213" w14:textId="11A4C1AE" w:rsidR="003E06BC" w:rsidRDefault="003E06BC" w:rsidP="00CD19B5">
      <w:pPr>
        <w:jc w:val="both"/>
        <w:rPr>
          <w:rFonts w:ascii="Arial" w:hAnsi="Arial" w:cs="Arial"/>
          <w:lang w:val="en-US"/>
        </w:rPr>
      </w:pPr>
    </w:p>
    <w:p w14:paraId="1EEC5942" w14:textId="78A6E3D5" w:rsidR="00806B25" w:rsidRDefault="00806B25" w:rsidP="00CD19B5">
      <w:pPr>
        <w:jc w:val="both"/>
        <w:rPr>
          <w:rFonts w:ascii="Arial" w:hAnsi="Arial" w:cs="Arial"/>
          <w:lang w:val="en-US"/>
        </w:rPr>
      </w:pPr>
      <w:r w:rsidRPr="00806B25">
        <w:rPr>
          <w:rFonts w:ascii="Arial" w:hAnsi="Arial" w:cs="Arial"/>
          <w:lang w:val="en-US"/>
        </w:rPr>
        <w:lastRenderedPageBreak/>
        <w:t>A credit rating agency provides an opinion relating to future debt repayments by borrowers. A credit bureau provides information on past debt repayments by borrowers.  Rating is denoted by a simple alpha-numeric symbol, for e.g. AAA, AA+, A-, etc.</w:t>
      </w:r>
      <w:r>
        <w:rPr>
          <w:rFonts w:ascii="Arial" w:hAnsi="Arial" w:cs="Arial"/>
          <w:lang w:val="en-US"/>
        </w:rPr>
        <w:t xml:space="preserve"> </w:t>
      </w:r>
      <w:proofErr w:type="gramStart"/>
      <w:r w:rsidRPr="00806B25">
        <w:rPr>
          <w:rFonts w:ascii="Arial" w:hAnsi="Arial" w:cs="Arial"/>
          <w:lang w:val="en-US"/>
        </w:rPr>
        <w:t>Plus</w:t>
      </w:r>
      <w:proofErr w:type="gramEnd"/>
      <w:r w:rsidRPr="00806B25">
        <w:rPr>
          <w:rFonts w:ascii="Arial" w:hAnsi="Arial" w:cs="Arial"/>
          <w:lang w:val="en-US"/>
        </w:rPr>
        <w:t xml:space="preserve"> and minus symbols are used to indicate finer distinctions within a rating category. The minus symbol associated with ratings has no negative connotations. In fact, ratings in a higher rating category such as ‘AA-’ are stronger than ratings in a lower rating category such as ‘A</w:t>
      </w:r>
      <w:proofErr w:type="gramStart"/>
      <w:r w:rsidRPr="00806B25">
        <w:rPr>
          <w:rFonts w:ascii="Arial" w:hAnsi="Arial" w:cs="Arial"/>
          <w:lang w:val="en-US"/>
        </w:rPr>
        <w:t>+‘</w:t>
      </w:r>
      <w:proofErr w:type="gramEnd"/>
      <w:r w:rsidRPr="00806B25">
        <w:rPr>
          <w:rFonts w:ascii="Arial" w:hAnsi="Arial" w:cs="Arial"/>
          <w:lang w:val="en-US"/>
        </w:rPr>
        <w:t>.</w:t>
      </w:r>
      <w:r>
        <w:rPr>
          <w:rFonts w:ascii="Arial" w:hAnsi="Arial" w:cs="Arial"/>
          <w:lang w:val="en-US"/>
        </w:rPr>
        <w:t xml:space="preserve"> </w:t>
      </w:r>
    </w:p>
    <w:p w14:paraId="73D315D7" w14:textId="6A449885" w:rsidR="00806B25" w:rsidRDefault="00806B25" w:rsidP="00CD19B5">
      <w:pPr>
        <w:jc w:val="both"/>
        <w:rPr>
          <w:rFonts w:ascii="Arial" w:hAnsi="Arial" w:cs="Arial"/>
          <w:lang w:val="en-US"/>
        </w:rPr>
      </w:pPr>
      <w:r w:rsidRPr="00806B25">
        <w:rPr>
          <w:rFonts w:ascii="Arial" w:hAnsi="Arial" w:cs="Arial"/>
          <w:lang w:val="en-US"/>
        </w:rPr>
        <w:t xml:space="preserve">An investment grade rating signifies the rating agency’s belief that the rated instrument is likely to meet its payment obligations. In the Indian context, debt instruments rated 'BBB-' and above are classified as investment grade ratings.  Instruments that are rated ‘BB+’ and below are classified as speculative grade category ratings in which case the ability to meet the payment obligations </w:t>
      </w:r>
      <w:proofErr w:type="gramStart"/>
      <w:r w:rsidRPr="00806B25">
        <w:rPr>
          <w:rFonts w:ascii="Arial" w:hAnsi="Arial" w:cs="Arial"/>
          <w:lang w:val="en-US"/>
        </w:rPr>
        <w:t>is considered to be</w:t>
      </w:r>
      <w:proofErr w:type="gramEnd"/>
      <w:r w:rsidRPr="00806B25">
        <w:rPr>
          <w:rFonts w:ascii="Arial" w:hAnsi="Arial" w:cs="Arial"/>
          <w:lang w:val="en-US"/>
        </w:rPr>
        <w:t xml:space="preserve"> “speculative”. Instruments rated in the speculative grade are considered to carry materially higher risk and a higher probability of default compared to instruments rated in the investment grade.  </w:t>
      </w:r>
    </w:p>
    <w:p w14:paraId="5547F072" w14:textId="420452E9" w:rsidR="00806B25" w:rsidRDefault="00806B25" w:rsidP="00CD19B5">
      <w:pPr>
        <w:jc w:val="both"/>
        <w:rPr>
          <w:rFonts w:ascii="Arial" w:hAnsi="Arial" w:cs="Arial"/>
          <w:lang w:val="en-US"/>
        </w:rPr>
      </w:pPr>
      <w:r w:rsidRPr="00806B25">
        <w:rPr>
          <w:rFonts w:ascii="Arial" w:hAnsi="Arial" w:cs="Arial"/>
          <w:lang w:val="en-US"/>
        </w:rPr>
        <w:t xml:space="preserve">Credit rating agencies are regulated by Securities and Exchanges Board of India (SEBI). The SEBI (Credit Rating Agencies) Regulations, 1999 govern the credit rating agencies and provide for eligibility criteria for registration of credit rating agencies, monitoring and review of ratings, requirements for a proper rating process, avoidance of conflict of interest and inspection of rating agencies by SEBI, amongst other things.  </w:t>
      </w:r>
    </w:p>
    <w:p w14:paraId="724F97EC" w14:textId="5083D32A" w:rsidR="00806B25" w:rsidRPr="00A55C63" w:rsidRDefault="00A55C63" w:rsidP="00A55C63">
      <w:pPr>
        <w:ind w:left="2160" w:firstLine="720"/>
        <w:jc w:val="both"/>
        <w:rPr>
          <w:rFonts w:ascii="Arial" w:hAnsi="Arial" w:cs="Arial"/>
          <w:b/>
          <w:bCs/>
          <w:lang w:val="en-US"/>
        </w:rPr>
      </w:pPr>
      <w:r w:rsidRPr="00A55C63">
        <w:rPr>
          <w:rFonts w:ascii="Arial" w:hAnsi="Arial" w:cs="Arial"/>
          <w:b/>
          <w:bCs/>
          <w:lang w:val="en-US"/>
        </w:rPr>
        <w:t>Open Market operations</w:t>
      </w:r>
    </w:p>
    <w:p w14:paraId="5B55CA75" w14:textId="77777777" w:rsidR="00A55C63" w:rsidRPr="00A55C63" w:rsidRDefault="00A55C63" w:rsidP="00A55C63">
      <w:pPr>
        <w:jc w:val="both"/>
        <w:rPr>
          <w:rFonts w:ascii="Arial" w:hAnsi="Arial" w:cs="Arial"/>
        </w:rPr>
      </w:pPr>
      <w:r w:rsidRPr="00A55C63">
        <w:rPr>
          <w:rFonts w:ascii="Arial" w:hAnsi="Arial" w:cs="Arial"/>
          <w:lang w:val="en-US"/>
        </w:rPr>
        <w:t>RBI in a bid to address liquidity concern in the economy goes in for bond buying/ selling programs. When the RBI buys bonds from the open market, it effectively increases the demand for bonds. These are typically large operations which are enough to raise bond prices. Those holding the bonds bought them at existing rates for various reasons, and so the RBI would have to pay a higher price to convince them to sell. When demand rises, price rise and hence bond yields fall. When RBI senses liquidity crunch or wants to inject liquidity for the sake of growth, it buys the bonds.</w:t>
      </w:r>
    </w:p>
    <w:p w14:paraId="0544D295" w14:textId="77777777" w:rsidR="00A55C63" w:rsidRPr="00A55C63" w:rsidRDefault="00A55C63" w:rsidP="00A55C63">
      <w:pPr>
        <w:jc w:val="both"/>
        <w:rPr>
          <w:rFonts w:ascii="Arial" w:hAnsi="Arial" w:cs="Arial"/>
        </w:rPr>
      </w:pPr>
      <w:r w:rsidRPr="00A55C63">
        <w:rPr>
          <w:rFonts w:ascii="Arial" w:hAnsi="Arial" w:cs="Arial"/>
          <w:lang w:val="en-US"/>
        </w:rPr>
        <w:t xml:space="preserve">Rising yields signal that interest rates are set to climb, and this is viewed negatively by financial markets as well as companies. So RBI takes several measures to keep bond yields </w:t>
      </w:r>
      <w:proofErr w:type="gramStart"/>
      <w:r w:rsidRPr="00A55C63">
        <w:rPr>
          <w:rFonts w:ascii="Arial" w:hAnsi="Arial" w:cs="Arial"/>
          <w:lang w:val="en-US"/>
        </w:rPr>
        <w:t>low :</w:t>
      </w:r>
      <w:proofErr w:type="gramEnd"/>
    </w:p>
    <w:p w14:paraId="3C4F5D12" w14:textId="77777777" w:rsidR="00A55C63" w:rsidRPr="00A55C63" w:rsidRDefault="00A55C63" w:rsidP="00A55C63">
      <w:pPr>
        <w:jc w:val="both"/>
        <w:rPr>
          <w:rFonts w:ascii="Arial" w:hAnsi="Arial" w:cs="Arial"/>
        </w:rPr>
      </w:pPr>
      <w:r w:rsidRPr="00A55C63">
        <w:rPr>
          <w:rFonts w:ascii="Arial" w:hAnsi="Arial" w:cs="Arial"/>
          <w:lang w:val="en-US"/>
        </w:rPr>
        <w:t xml:space="preserve">1. Communication or Open Mouth </w:t>
      </w:r>
      <w:proofErr w:type="gramStart"/>
      <w:r w:rsidRPr="00A55C63">
        <w:rPr>
          <w:rFonts w:ascii="Arial" w:hAnsi="Arial" w:cs="Arial"/>
          <w:lang w:val="en-US"/>
        </w:rPr>
        <w:t>Operation :</w:t>
      </w:r>
      <w:proofErr w:type="gramEnd"/>
      <w:r w:rsidRPr="00A55C63">
        <w:rPr>
          <w:rFonts w:ascii="Arial" w:hAnsi="Arial" w:cs="Arial"/>
          <w:lang w:val="en-US"/>
        </w:rPr>
        <w:t xml:space="preserve"> The easiest and by far the cheapest mode of managing yields is good old communication, often referred to as "open mouth operation". By simply communicating where the preferred interest rates should be, that current yields are "too high" or "too low" or at "undesirable levels", the central banks are able to influence markets to adjust rates.</w:t>
      </w:r>
    </w:p>
    <w:p w14:paraId="4BB24531" w14:textId="77777777" w:rsidR="00A55C63" w:rsidRPr="00A55C63" w:rsidRDefault="00A55C63" w:rsidP="00A55C63">
      <w:pPr>
        <w:jc w:val="both"/>
        <w:rPr>
          <w:rFonts w:ascii="Arial" w:hAnsi="Arial" w:cs="Arial"/>
        </w:rPr>
      </w:pPr>
      <w:r w:rsidRPr="00A55C63">
        <w:rPr>
          <w:rFonts w:ascii="Arial" w:hAnsi="Arial" w:cs="Arial"/>
          <w:lang w:val="en-US"/>
        </w:rPr>
        <w:t xml:space="preserve">2. Hiking SLR, (statutory liquidity ratio), is a measure of the reserves that banks are required to hold in the form of government bonds, gold, and similar liquid assets. By </w:t>
      </w:r>
      <w:proofErr w:type="gramStart"/>
      <w:r w:rsidRPr="00A55C63">
        <w:rPr>
          <w:rFonts w:ascii="Arial" w:hAnsi="Arial" w:cs="Arial"/>
          <w:lang w:val="en-US"/>
        </w:rPr>
        <w:t>hiking  SLR</w:t>
      </w:r>
      <w:proofErr w:type="gramEnd"/>
      <w:r w:rsidRPr="00A55C63">
        <w:rPr>
          <w:rFonts w:ascii="Arial" w:hAnsi="Arial" w:cs="Arial"/>
          <w:lang w:val="en-US"/>
        </w:rPr>
        <w:t xml:space="preserve"> requirements, RBI can effectively mandate more bond buying which can drive yields down. But this method is not effective when there's already excess bond holding.</w:t>
      </w:r>
    </w:p>
    <w:p w14:paraId="5C2D8D03" w14:textId="7AA40D32" w:rsidR="00A55C63" w:rsidRPr="00A55C63" w:rsidRDefault="00A55C63" w:rsidP="00A55C63">
      <w:pPr>
        <w:jc w:val="both"/>
        <w:rPr>
          <w:rFonts w:ascii="Arial" w:hAnsi="Arial" w:cs="Arial"/>
        </w:rPr>
      </w:pPr>
      <w:r w:rsidRPr="00A55C63">
        <w:rPr>
          <w:rFonts w:ascii="Arial" w:hAnsi="Arial" w:cs="Arial"/>
          <w:lang w:val="en-US"/>
        </w:rPr>
        <w:t>3. Increasing the HTM limit of bonds for banks</w:t>
      </w:r>
    </w:p>
    <w:p w14:paraId="5A878301" w14:textId="77777777" w:rsidR="00A55C63" w:rsidRPr="00A55C63" w:rsidRDefault="00A55C63" w:rsidP="00A55C63">
      <w:pPr>
        <w:jc w:val="both"/>
        <w:rPr>
          <w:rFonts w:ascii="Arial" w:hAnsi="Arial" w:cs="Arial"/>
        </w:rPr>
      </w:pPr>
      <w:r w:rsidRPr="00A55C63">
        <w:rPr>
          <w:rFonts w:ascii="Arial" w:hAnsi="Arial" w:cs="Arial"/>
          <w:lang w:val="en-US"/>
        </w:rPr>
        <w:t xml:space="preserve">In the held to maturity (HTM) category, banks </w:t>
      </w:r>
      <w:proofErr w:type="gramStart"/>
      <w:r w:rsidRPr="00A55C63">
        <w:rPr>
          <w:rFonts w:ascii="Arial" w:hAnsi="Arial" w:cs="Arial"/>
          <w:lang w:val="en-US"/>
        </w:rPr>
        <w:t>don't</w:t>
      </w:r>
      <w:proofErr w:type="gramEnd"/>
      <w:r w:rsidRPr="00A55C63">
        <w:rPr>
          <w:rFonts w:ascii="Arial" w:hAnsi="Arial" w:cs="Arial"/>
          <w:lang w:val="en-US"/>
        </w:rPr>
        <w:t xml:space="preserve"> have to mark-to-market their investments to the current market rates. This helps banks avoid nominal losses that may arise because of the periodic fluctuation in bond prices. Increasing HTM limit would mean more demand for bonds, which would then help cool yields. However, RBI did not announce this in the 5 Feb policy; they just extended the HTM period by one more year.</w:t>
      </w:r>
    </w:p>
    <w:p w14:paraId="1BB9B22E" w14:textId="77777777" w:rsidR="00A55C63" w:rsidRPr="00A55C63" w:rsidRDefault="00A55C63" w:rsidP="00A55C63">
      <w:pPr>
        <w:jc w:val="both"/>
        <w:rPr>
          <w:rFonts w:ascii="Arial" w:hAnsi="Arial" w:cs="Arial"/>
        </w:rPr>
      </w:pPr>
      <w:r w:rsidRPr="00A55C63">
        <w:rPr>
          <w:rFonts w:ascii="Arial" w:hAnsi="Arial" w:cs="Arial"/>
          <w:lang w:val="en-US"/>
        </w:rPr>
        <w:t>4. Introducing more floating-rate bonds</w:t>
      </w:r>
    </w:p>
    <w:p w14:paraId="3DF54901" w14:textId="77777777" w:rsidR="00A55C63" w:rsidRPr="00A55C63" w:rsidRDefault="00A55C63" w:rsidP="00A55C63">
      <w:pPr>
        <w:jc w:val="both"/>
        <w:rPr>
          <w:rFonts w:ascii="Arial" w:hAnsi="Arial" w:cs="Arial"/>
        </w:rPr>
      </w:pPr>
      <w:r w:rsidRPr="00A55C63">
        <w:rPr>
          <w:rFonts w:ascii="Arial" w:hAnsi="Arial" w:cs="Arial"/>
          <w:lang w:val="en-US"/>
        </w:rPr>
        <w:lastRenderedPageBreak/>
        <w:t xml:space="preserve">Floating rate bonds have a coupon reset every six months- which addresses the duration risk of bonds. This also means the mark to the market problem </w:t>
      </w:r>
      <w:proofErr w:type="gramStart"/>
      <w:r w:rsidRPr="00A55C63">
        <w:rPr>
          <w:rFonts w:ascii="Arial" w:hAnsi="Arial" w:cs="Arial"/>
          <w:lang w:val="en-US"/>
        </w:rPr>
        <w:t>doesn't</w:t>
      </w:r>
      <w:proofErr w:type="gramEnd"/>
      <w:r w:rsidRPr="00A55C63">
        <w:rPr>
          <w:rFonts w:ascii="Arial" w:hAnsi="Arial" w:cs="Arial"/>
          <w:lang w:val="en-US"/>
        </w:rPr>
        <w:t xml:space="preserve"> arise. As risk goes down, so do bond yields. However, this is not commonly used as govt would also have to pay a higher coupon in case of an adverse yield movement.</w:t>
      </w:r>
    </w:p>
    <w:p w14:paraId="05FE9158" w14:textId="77777777" w:rsidR="00A55C63" w:rsidRPr="00A55C63" w:rsidRDefault="00A55C63" w:rsidP="00A55C63">
      <w:pPr>
        <w:jc w:val="both"/>
        <w:rPr>
          <w:rFonts w:ascii="Arial" w:hAnsi="Arial" w:cs="Arial"/>
        </w:rPr>
      </w:pPr>
      <w:r w:rsidRPr="00A55C63">
        <w:rPr>
          <w:rFonts w:ascii="Arial" w:hAnsi="Arial" w:cs="Arial"/>
          <w:i/>
          <w:iCs/>
          <w:lang w:val="en-US"/>
        </w:rPr>
        <w:t xml:space="preserve">The Reserve Bank of India had decided to conduct simultaneous purchase and sale of government securities under Open Market Operations (OMO) for an aggregate amount of ₹10,000 crore each on May 6, 2021. </w:t>
      </w:r>
      <w:r w:rsidRPr="00A55C63">
        <w:rPr>
          <w:rFonts w:ascii="Arial" w:hAnsi="Arial" w:cs="Arial"/>
          <w:lang w:val="en-US"/>
        </w:rPr>
        <w:t>The decision was taken after a review of current liquidity and financial conditions, the RBI said in a statement. Simultaneous purchase and sale of government securities under OMOs, popularly known as the Operation Twist, involves purchasing G-Sec of longer maturities and selling equal amount of G-Sec of shorter maturities.</w:t>
      </w:r>
    </w:p>
    <w:p w14:paraId="3EFE95F0" w14:textId="78892CAD" w:rsidR="00A55C63" w:rsidRDefault="009B6736" w:rsidP="00A55C63">
      <w:pPr>
        <w:jc w:val="both"/>
        <w:rPr>
          <w:rFonts w:ascii="Arial" w:hAnsi="Arial" w:cs="Arial"/>
          <w:b/>
          <w:bCs/>
          <w:lang w:val="en-US"/>
        </w:rPr>
      </w:pP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sidRPr="009B6736">
        <w:rPr>
          <w:rFonts w:ascii="Arial" w:hAnsi="Arial" w:cs="Arial"/>
          <w:b/>
          <w:bCs/>
          <w:lang w:val="en-US"/>
        </w:rPr>
        <w:t>Primary Dealers</w:t>
      </w:r>
    </w:p>
    <w:p w14:paraId="6BEF5CD4" w14:textId="77777777" w:rsidR="009B6736" w:rsidRPr="009B6736" w:rsidRDefault="009B6736" w:rsidP="009B6736">
      <w:pPr>
        <w:jc w:val="both"/>
        <w:rPr>
          <w:rFonts w:ascii="Arial" w:hAnsi="Arial" w:cs="Arial"/>
        </w:rPr>
      </w:pPr>
      <w:r w:rsidRPr="009B6736">
        <w:rPr>
          <w:rFonts w:ascii="Arial" w:eastAsiaTheme="minorEastAsia" w:hAnsi="Arial" w:cs="Arial"/>
          <w:lang w:val="en-US"/>
        </w:rPr>
        <w:t>In 1995, the Reserve Bank of India (RBI) introduced the system of Primary Dealers (PDs) in the Government Securities (G-Sec) Market. The objectives of the PD system are to strengthen the infrastructure in G-Sec market, development of underwriting and market making capabilities for G-Sec, improve secondary market trading system and to make PDs an effective conduit for open market operations (OMO). As on June 30, 2015, there are seven standalone PDs and fourteen banks authorized to undertake PD business departmentally.</w:t>
      </w:r>
    </w:p>
    <w:p w14:paraId="58C9278D"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For banks to function as PDs RBI has laid down following rules :1.  Minimum net owned funds (NOF) of Rs. 1,000 </w:t>
      </w:r>
      <w:proofErr w:type="gramStart"/>
      <w:r w:rsidRPr="009B6736">
        <w:rPr>
          <w:rFonts w:ascii="Arial" w:eastAsiaTheme="minorEastAsia" w:hAnsi="Arial" w:cs="Arial"/>
          <w:lang w:val="en-US"/>
        </w:rPr>
        <w:t>crore</w:t>
      </w:r>
      <w:proofErr w:type="gramEnd"/>
      <w:r w:rsidRPr="009B6736">
        <w:rPr>
          <w:rFonts w:ascii="Arial" w:eastAsiaTheme="minorEastAsia" w:hAnsi="Arial" w:cs="Arial"/>
          <w:lang w:val="en-US"/>
        </w:rPr>
        <w:t xml:space="preserve">. 2. Minimum Capital to Risk Weighted Assets Ratio (CRAR) of 9 per cent. 3• Net NPA of less than 3 per cent and a </w:t>
      </w:r>
      <w:proofErr w:type="gramStart"/>
      <w:r w:rsidRPr="009B6736">
        <w:rPr>
          <w:rFonts w:ascii="Arial" w:eastAsiaTheme="minorEastAsia" w:hAnsi="Arial" w:cs="Arial"/>
          <w:lang w:val="en-US"/>
        </w:rPr>
        <w:t>profit making</w:t>
      </w:r>
      <w:proofErr w:type="gramEnd"/>
      <w:r w:rsidRPr="009B6736">
        <w:rPr>
          <w:rFonts w:ascii="Arial" w:eastAsiaTheme="minorEastAsia" w:hAnsi="Arial" w:cs="Arial"/>
          <w:lang w:val="en-US"/>
        </w:rPr>
        <w:t xml:space="preserve"> record for last three years. 4• The applicant bank should have approval of Department of Banking Regulation, Central Office, RBI, Mumbai.</w:t>
      </w:r>
    </w:p>
    <w:p w14:paraId="37FF33D9"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Bank PDs registered with RBI and carrying out PD activity </w:t>
      </w:r>
      <w:proofErr w:type="gramStart"/>
      <w:r w:rsidRPr="009B6736">
        <w:rPr>
          <w:rFonts w:ascii="Arial" w:eastAsiaTheme="minorEastAsia" w:hAnsi="Arial" w:cs="Arial"/>
          <w:lang w:val="en-US"/>
        </w:rPr>
        <w:t>are :Bank</w:t>
      </w:r>
      <w:proofErr w:type="gramEnd"/>
      <w:r w:rsidRPr="009B6736">
        <w:rPr>
          <w:rFonts w:ascii="Arial" w:eastAsiaTheme="minorEastAsia" w:hAnsi="Arial" w:cs="Arial"/>
          <w:lang w:val="en-US"/>
        </w:rPr>
        <w:t xml:space="preserve"> of Baroda, Bank of America N.A, Canara Bank, Citibank NA, Union Bank of India, HDFC Bank, HSBC, J P Morgan Chase Bank NA, Axis Bank, Kotak Mahindra bank, IDBI Bank, Deutsche Bank, Yes Bank, Standard Chartered Bank.</w:t>
      </w:r>
    </w:p>
    <w:p w14:paraId="5474EDB0"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Standalone PDs registered with </w:t>
      </w:r>
      <w:proofErr w:type="gramStart"/>
      <w:r w:rsidRPr="009B6736">
        <w:rPr>
          <w:rFonts w:ascii="Arial" w:eastAsiaTheme="minorEastAsia" w:hAnsi="Arial" w:cs="Arial"/>
          <w:lang w:val="en-US"/>
        </w:rPr>
        <w:t>FIMMDA :Goldman</w:t>
      </w:r>
      <w:proofErr w:type="gramEnd"/>
      <w:r w:rsidRPr="009B6736">
        <w:rPr>
          <w:rFonts w:ascii="Arial" w:eastAsiaTheme="minorEastAsia" w:hAnsi="Arial" w:cs="Arial"/>
          <w:lang w:val="en-US"/>
        </w:rPr>
        <w:t xml:space="preserve"> Sachs (India) Capital Markets  Pvt Ltd, Morgan Stanley India Primary Dealership Ltd,  ICICI Securities Primary Dealership Ltd, Nomura Fixed Income Securities PVT Ltd, PNB Gilts Ltd, STCI Primary Dealer Ltd, SBI DHFI Ltd</w:t>
      </w:r>
    </w:p>
    <w:p w14:paraId="24CF5B52"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PDs are regulated by RBI through off site reporting and </w:t>
      </w:r>
      <w:proofErr w:type="spellStart"/>
      <w:proofErr w:type="gramStart"/>
      <w:r w:rsidRPr="009B6736">
        <w:rPr>
          <w:rFonts w:ascii="Arial" w:eastAsiaTheme="minorEastAsia" w:hAnsi="Arial" w:cs="Arial"/>
          <w:lang w:val="en-US"/>
        </w:rPr>
        <w:t>on site</w:t>
      </w:r>
      <w:proofErr w:type="spellEnd"/>
      <w:proofErr w:type="gramEnd"/>
      <w:r w:rsidRPr="009B6736">
        <w:rPr>
          <w:rFonts w:ascii="Arial" w:eastAsiaTheme="minorEastAsia" w:hAnsi="Arial" w:cs="Arial"/>
          <w:lang w:val="en-US"/>
        </w:rPr>
        <w:t xml:space="preserve"> inspection.</w:t>
      </w:r>
    </w:p>
    <w:p w14:paraId="19A2A0D8"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Functions of a </w:t>
      </w:r>
      <w:proofErr w:type="gramStart"/>
      <w:r w:rsidRPr="009B6736">
        <w:rPr>
          <w:rFonts w:ascii="Arial" w:eastAsiaTheme="minorEastAsia" w:hAnsi="Arial" w:cs="Arial"/>
          <w:lang w:val="en-US"/>
        </w:rPr>
        <w:t>PD :</w:t>
      </w:r>
      <w:proofErr w:type="gramEnd"/>
    </w:p>
    <w:p w14:paraId="0F012BA7"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PRIMARY MARKET </w:t>
      </w:r>
      <w:proofErr w:type="gramStart"/>
      <w:r w:rsidRPr="009B6736">
        <w:rPr>
          <w:rFonts w:ascii="Arial" w:eastAsiaTheme="minorEastAsia" w:hAnsi="Arial" w:cs="Arial"/>
          <w:lang w:val="en-US"/>
        </w:rPr>
        <w:t>ACTIVITIES :</w:t>
      </w:r>
      <w:proofErr w:type="gramEnd"/>
    </w:p>
    <w:p w14:paraId="3AF46D73" w14:textId="6F099F10" w:rsidR="009B6736" w:rsidRPr="009B6736" w:rsidRDefault="009B6736" w:rsidP="009B6736">
      <w:pPr>
        <w:jc w:val="both"/>
        <w:rPr>
          <w:rFonts w:ascii="Arial" w:hAnsi="Arial" w:cs="Arial"/>
        </w:rPr>
      </w:pPr>
      <w:r w:rsidRPr="009B6736">
        <w:rPr>
          <w:rFonts w:ascii="Arial" w:eastAsiaTheme="minorEastAsia" w:hAnsi="Arial" w:cs="Arial"/>
          <w:lang w:val="en-US"/>
        </w:rPr>
        <w:t xml:space="preserve">Underwriting of dated securities of Central Govt and State Govt. 2. Bidding in primary auctions of T bills / CMBs 3. Participating in *When Issued Transactions of Central Govt securities 4. Submission of client bids in primary auctions 5. Submission of </w:t>
      </w:r>
      <w:proofErr w:type="spellStart"/>
      <w:proofErr w:type="gramStart"/>
      <w:r w:rsidRPr="009B6736">
        <w:rPr>
          <w:rFonts w:ascii="Arial" w:eastAsiaTheme="minorEastAsia" w:hAnsi="Arial" w:cs="Arial"/>
          <w:lang w:val="en-US"/>
        </w:rPr>
        <w:t>non competitive</w:t>
      </w:r>
      <w:proofErr w:type="spellEnd"/>
      <w:proofErr w:type="gramEnd"/>
      <w:r w:rsidRPr="009B6736">
        <w:rPr>
          <w:rFonts w:ascii="Arial" w:eastAsiaTheme="minorEastAsia" w:hAnsi="Arial" w:cs="Arial"/>
          <w:lang w:val="en-US"/>
        </w:rPr>
        <w:t xml:space="preserve"> bids 6. Sale of securities allotted in primary issues on the same day (may undertake services through brokers) 7. Settlement of primary auctions</w:t>
      </w:r>
    </w:p>
    <w:p w14:paraId="4E17AF11" w14:textId="77777777" w:rsidR="009B6736" w:rsidRPr="009B6736" w:rsidRDefault="009B6736" w:rsidP="009B6736">
      <w:pPr>
        <w:jc w:val="both"/>
        <w:rPr>
          <w:rFonts w:ascii="Arial" w:hAnsi="Arial" w:cs="Arial"/>
        </w:rPr>
      </w:pPr>
      <w:r w:rsidRPr="009B6736">
        <w:rPr>
          <w:rFonts w:ascii="Arial" w:eastAsiaTheme="minorEastAsia" w:hAnsi="Arial" w:cs="Arial"/>
          <w:lang w:val="en-US"/>
        </w:rPr>
        <w:t xml:space="preserve">SECONDARY MARKET </w:t>
      </w:r>
      <w:proofErr w:type="gramStart"/>
      <w:r w:rsidRPr="009B6736">
        <w:rPr>
          <w:rFonts w:ascii="Arial" w:eastAsiaTheme="minorEastAsia" w:hAnsi="Arial" w:cs="Arial"/>
          <w:lang w:val="en-US"/>
        </w:rPr>
        <w:t>ACTIVITIES :</w:t>
      </w:r>
      <w:proofErr w:type="gramEnd"/>
    </w:p>
    <w:p w14:paraId="7DA3F44A" w14:textId="54344A60" w:rsidR="009B6736" w:rsidRPr="009B6736" w:rsidRDefault="009B6736" w:rsidP="009B6736">
      <w:pPr>
        <w:jc w:val="both"/>
        <w:rPr>
          <w:rFonts w:ascii="Arial" w:hAnsi="Arial" w:cs="Arial"/>
        </w:rPr>
      </w:pPr>
      <w:r w:rsidRPr="009B6736">
        <w:rPr>
          <w:rFonts w:ascii="Arial" w:eastAsiaTheme="minorEastAsia" w:hAnsi="Arial" w:cs="Arial"/>
          <w:lang w:val="en-US"/>
        </w:rPr>
        <w:t>Market making in G-</w:t>
      </w:r>
      <w:proofErr w:type="gramStart"/>
      <w:r w:rsidRPr="009B6736">
        <w:rPr>
          <w:rFonts w:ascii="Arial" w:eastAsiaTheme="minorEastAsia" w:hAnsi="Arial" w:cs="Arial"/>
          <w:lang w:val="en-US"/>
        </w:rPr>
        <w:t>Sec  by</w:t>
      </w:r>
      <w:proofErr w:type="gramEnd"/>
      <w:r w:rsidRPr="009B6736">
        <w:rPr>
          <w:rFonts w:ascii="Arial" w:eastAsiaTheme="minorEastAsia" w:hAnsi="Arial" w:cs="Arial"/>
          <w:lang w:val="en-US"/>
        </w:rPr>
        <w:t xml:space="preserve"> offering two way quote through NDS-OM, OTC markets and stock exchanges. 2. Turnover ratio maintenance </w:t>
      </w:r>
      <w:proofErr w:type="gramStart"/>
      <w:r w:rsidRPr="009B6736">
        <w:rPr>
          <w:rFonts w:ascii="Arial" w:eastAsiaTheme="minorEastAsia" w:hAnsi="Arial" w:cs="Arial"/>
          <w:lang w:val="en-US"/>
        </w:rPr>
        <w:t>( 5</w:t>
      </w:r>
      <w:proofErr w:type="gramEnd"/>
      <w:r w:rsidRPr="009B6736">
        <w:rPr>
          <w:rFonts w:ascii="Arial" w:eastAsiaTheme="minorEastAsia" w:hAnsi="Arial" w:cs="Arial"/>
          <w:lang w:val="en-US"/>
        </w:rPr>
        <w:t xml:space="preserve"> times in case of dated G Secs and 10 times in case of T bills and CMBs of the average month end stocks) 3. Secondary Market Transactions - Short-selling 4. Separate Trading of Registered Interest and Principal of Securities (STRIPS) </w:t>
      </w:r>
      <w:r w:rsidRPr="009B6736">
        <w:rPr>
          <w:rFonts w:ascii="Arial" w:eastAsiaTheme="minorEastAsia" w:hAnsi="Arial" w:cs="Arial"/>
          <w:lang w:val="en-US"/>
        </w:rPr>
        <w:lastRenderedPageBreak/>
        <w:t xml:space="preserve">in G-Sec </w:t>
      </w:r>
      <w:proofErr w:type="gramStart"/>
      <w:r w:rsidRPr="009B6736">
        <w:rPr>
          <w:rFonts w:ascii="Arial" w:eastAsiaTheme="minorEastAsia" w:hAnsi="Arial" w:cs="Arial"/>
          <w:lang w:val="en-US"/>
        </w:rPr>
        <w:t>5.Settlement</w:t>
      </w:r>
      <w:proofErr w:type="gramEnd"/>
      <w:r w:rsidRPr="009B6736">
        <w:rPr>
          <w:rFonts w:ascii="Arial" w:eastAsiaTheme="minorEastAsia" w:hAnsi="Arial" w:cs="Arial"/>
          <w:lang w:val="en-US"/>
        </w:rPr>
        <w:t xml:space="preserve"> of Secondary Market transaction (outright secondary market transactions in G-secs settled in T+ 1 days and deals through NDS-OM in T+2 days)</w:t>
      </w:r>
    </w:p>
    <w:p w14:paraId="15DFC847" w14:textId="77777777" w:rsidR="009B6736" w:rsidRDefault="009B6736" w:rsidP="009B6736">
      <w:pPr>
        <w:jc w:val="both"/>
        <w:rPr>
          <w:rFonts w:ascii="Arial" w:eastAsiaTheme="minorEastAsia" w:hAnsi="Arial" w:cs="Arial"/>
          <w:i/>
          <w:iCs/>
          <w:lang w:val="en-US"/>
        </w:rPr>
      </w:pPr>
      <w:r w:rsidRPr="009B6736">
        <w:rPr>
          <w:rFonts w:ascii="Arial" w:eastAsiaTheme="minorEastAsia" w:hAnsi="Arial" w:cs="Arial"/>
          <w:i/>
          <w:iCs/>
          <w:lang w:val="en-US"/>
        </w:rPr>
        <w:t>*When issued (WI) is a transaction that is made conditionally because a security has been authorized but not yet issued. Treasury securities, stock splits, and new issues of stocks and bonds are all traded on a when-issued basis.</w:t>
      </w:r>
    </w:p>
    <w:p w14:paraId="7CB1EA4A" w14:textId="77777777" w:rsidR="009B6736" w:rsidRPr="009B6736" w:rsidRDefault="009B6736" w:rsidP="009B6736">
      <w:pPr>
        <w:jc w:val="both"/>
        <w:rPr>
          <w:rFonts w:ascii="Arial" w:hAnsi="Arial" w:cs="Arial"/>
        </w:rPr>
      </w:pPr>
      <w:r w:rsidRPr="009B6736">
        <w:rPr>
          <w:rFonts w:ascii="Arial" w:hAnsi="Arial" w:cs="Arial"/>
          <w:lang w:val="en-US"/>
        </w:rPr>
        <w:t xml:space="preserve">International </w:t>
      </w:r>
      <w:proofErr w:type="gramStart"/>
      <w:r w:rsidRPr="009B6736">
        <w:rPr>
          <w:rFonts w:ascii="Arial" w:hAnsi="Arial" w:cs="Arial"/>
          <w:lang w:val="en-US"/>
        </w:rPr>
        <w:t>scenario :</w:t>
      </w:r>
      <w:proofErr w:type="gramEnd"/>
    </w:p>
    <w:p w14:paraId="507603CE" w14:textId="77777777" w:rsidR="009B6736" w:rsidRPr="009B6736" w:rsidRDefault="009B6736" w:rsidP="009B6736">
      <w:pPr>
        <w:jc w:val="both"/>
        <w:rPr>
          <w:rFonts w:ascii="Arial" w:hAnsi="Arial" w:cs="Arial"/>
        </w:rPr>
      </w:pPr>
      <w:r w:rsidRPr="009B6736">
        <w:rPr>
          <w:rFonts w:ascii="Arial" w:hAnsi="Arial" w:cs="Arial"/>
          <w:lang w:val="en-US"/>
        </w:rPr>
        <w:t xml:space="preserve">In U.S.A banks and broker dealers are eligible to be selected as PDs by the Federal Reserve Bank. The entity applying for a PD recognition </w:t>
      </w:r>
      <w:proofErr w:type="gramStart"/>
      <w:r w:rsidRPr="009B6736">
        <w:rPr>
          <w:rFonts w:ascii="Arial" w:hAnsi="Arial" w:cs="Arial"/>
          <w:lang w:val="en-US"/>
        </w:rPr>
        <w:t>has to</w:t>
      </w:r>
      <w:proofErr w:type="gramEnd"/>
      <w:r w:rsidRPr="009B6736">
        <w:rPr>
          <w:rFonts w:ascii="Arial" w:hAnsi="Arial" w:cs="Arial"/>
          <w:lang w:val="en-US"/>
        </w:rPr>
        <w:t xml:space="preserve"> meet minimum capital standards. They then become eligible counterparties for OMO with Federal Reserve Bank of New York.</w:t>
      </w:r>
    </w:p>
    <w:p w14:paraId="5A7CD777" w14:textId="77777777" w:rsidR="009B6736" w:rsidRPr="009B6736" w:rsidRDefault="009B6736" w:rsidP="009B6736">
      <w:pPr>
        <w:jc w:val="both"/>
        <w:rPr>
          <w:rFonts w:ascii="Arial" w:hAnsi="Arial" w:cs="Arial"/>
        </w:rPr>
      </w:pPr>
      <w:r w:rsidRPr="009B6736">
        <w:rPr>
          <w:rFonts w:ascii="Arial" w:hAnsi="Arial" w:cs="Arial"/>
          <w:lang w:val="en-US"/>
        </w:rPr>
        <w:t xml:space="preserve">In France, PDs (called SVTs) are the market counterparties of choice for the Agency France Trésor and the Caisse de la </w:t>
      </w:r>
      <w:proofErr w:type="spellStart"/>
      <w:r w:rsidRPr="009B6736">
        <w:rPr>
          <w:rFonts w:ascii="Arial" w:hAnsi="Arial" w:cs="Arial"/>
          <w:lang w:val="en-US"/>
        </w:rPr>
        <w:t>dette</w:t>
      </w:r>
      <w:proofErr w:type="spellEnd"/>
      <w:r w:rsidRPr="009B6736">
        <w:rPr>
          <w:rFonts w:ascii="Arial" w:hAnsi="Arial" w:cs="Arial"/>
          <w:lang w:val="en-US"/>
        </w:rPr>
        <w:t xml:space="preserve"> </w:t>
      </w:r>
      <w:proofErr w:type="spellStart"/>
      <w:r w:rsidRPr="009B6736">
        <w:rPr>
          <w:rFonts w:ascii="Arial" w:hAnsi="Arial" w:cs="Arial"/>
          <w:lang w:val="en-US"/>
        </w:rPr>
        <w:t>publique</w:t>
      </w:r>
      <w:proofErr w:type="spellEnd"/>
      <w:r w:rsidRPr="009B6736">
        <w:rPr>
          <w:rFonts w:ascii="Arial" w:hAnsi="Arial" w:cs="Arial"/>
          <w:lang w:val="en-US"/>
        </w:rPr>
        <w:t>. The composition of the SVTs has evolved over time. SVTs include large banking networks and capital market specialists, as well as organizations based in France and abroad.</w:t>
      </w:r>
    </w:p>
    <w:p w14:paraId="0262E413" w14:textId="77777777" w:rsidR="009B6736" w:rsidRPr="009B6736" w:rsidRDefault="009B6736" w:rsidP="009B6736">
      <w:pPr>
        <w:jc w:val="both"/>
        <w:rPr>
          <w:rFonts w:ascii="Arial" w:hAnsi="Arial" w:cs="Arial"/>
        </w:rPr>
      </w:pPr>
      <w:r w:rsidRPr="009B6736">
        <w:rPr>
          <w:rFonts w:ascii="Arial" w:hAnsi="Arial" w:cs="Arial"/>
          <w:lang w:val="en-US"/>
        </w:rPr>
        <w:t xml:space="preserve">In UK, PDs are known as Gilt Edged Market Makers (GEMMS). In addition to being </w:t>
      </w:r>
      <w:proofErr w:type="spellStart"/>
      <w:r w:rsidRPr="009B6736">
        <w:rPr>
          <w:rFonts w:ascii="Arial" w:hAnsi="Arial" w:cs="Arial"/>
          <w:lang w:val="en-US"/>
        </w:rPr>
        <w:t>authorised</w:t>
      </w:r>
      <w:proofErr w:type="spellEnd"/>
      <w:r w:rsidRPr="009B6736">
        <w:rPr>
          <w:rFonts w:ascii="Arial" w:hAnsi="Arial" w:cs="Arial"/>
          <w:lang w:val="en-US"/>
        </w:rPr>
        <w:t xml:space="preserve"> by the FSA, either directly or under the terms of the EEA passport, GEMMs must satisfy certain obligations, and be members of a recognized investment exchange (RIE), such as the London Stock Exchange (LSE)</w:t>
      </w:r>
    </w:p>
    <w:p w14:paraId="26D45956" w14:textId="77777777" w:rsidR="009B6736" w:rsidRPr="009B6736" w:rsidRDefault="009B6736" w:rsidP="009B6736">
      <w:pPr>
        <w:jc w:val="both"/>
        <w:rPr>
          <w:rFonts w:ascii="Arial" w:hAnsi="Arial" w:cs="Arial"/>
        </w:rPr>
      </w:pPr>
      <w:r w:rsidRPr="009B6736">
        <w:rPr>
          <w:rFonts w:ascii="Arial" w:hAnsi="Arial" w:cs="Arial"/>
          <w:lang w:val="en-US"/>
        </w:rPr>
        <w:t>In countries like Singapore, Korea, Sweden, Portugal, South Africa etc., PDs are commercial and investment banks. A detailed Table of the entities operating as PDs in various countries, as per an IMF Survey is given in the next page.</w:t>
      </w:r>
    </w:p>
    <w:p w14:paraId="792A6728" w14:textId="59D9ECA1" w:rsidR="009B6736" w:rsidRDefault="009B6736" w:rsidP="009B6736">
      <w:pPr>
        <w:jc w:val="both"/>
        <w:rPr>
          <w:rFonts w:ascii="Arial" w:hAnsi="Arial" w:cs="Arial"/>
          <w:b/>
          <w:bCs/>
        </w:rPr>
      </w:pPr>
      <w:r>
        <w:rPr>
          <w:rFonts w:ascii="Arial" w:hAnsi="Arial" w:cs="Arial"/>
        </w:rPr>
        <w:tab/>
      </w:r>
      <w:r>
        <w:rPr>
          <w:rFonts w:ascii="Arial" w:hAnsi="Arial" w:cs="Arial"/>
        </w:rPr>
        <w:tab/>
      </w:r>
      <w:r>
        <w:rPr>
          <w:rFonts w:ascii="Arial" w:hAnsi="Arial" w:cs="Arial"/>
        </w:rPr>
        <w:tab/>
      </w:r>
      <w:r w:rsidRPr="009B6736">
        <w:rPr>
          <w:rFonts w:ascii="Arial" w:hAnsi="Arial" w:cs="Arial"/>
          <w:b/>
          <w:bCs/>
        </w:rPr>
        <w:t>STCI</w:t>
      </w:r>
      <w:r>
        <w:rPr>
          <w:rFonts w:ascii="Arial" w:hAnsi="Arial" w:cs="Arial"/>
          <w:b/>
          <w:bCs/>
        </w:rPr>
        <w:t xml:space="preserve"> (Securities Trading Corporation of India)</w:t>
      </w:r>
    </w:p>
    <w:p w14:paraId="79454C91"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A primary dealer is a firm that buys government securities directly from a government, with the intention of reselling them to others, thus acting as a market maker of government securities. In India, the Primary Dealer business model was established to develop an active, </w:t>
      </w:r>
      <w:proofErr w:type="gramStart"/>
      <w:r w:rsidRPr="009B6736">
        <w:rPr>
          <w:rFonts w:ascii="Arial" w:hAnsi="Arial" w:cs="Arial"/>
          <w:sz w:val="24"/>
          <w:szCs w:val="24"/>
          <w:lang w:val="en-US"/>
        </w:rPr>
        <w:t>vibrant</w:t>
      </w:r>
      <w:proofErr w:type="gramEnd"/>
      <w:r w:rsidRPr="009B6736">
        <w:rPr>
          <w:rFonts w:ascii="Arial" w:hAnsi="Arial" w:cs="Arial"/>
          <w:sz w:val="24"/>
          <w:szCs w:val="24"/>
          <w:lang w:val="en-US"/>
        </w:rPr>
        <w:t xml:space="preserve"> and liquid secondary market for Government Securities.</w:t>
      </w:r>
    </w:p>
    <w:p w14:paraId="7297560D"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STCI was among one of the first Primary Dealers in the country set up in 1994 as a subsidiary of RBI. Subsequently, RBI’s stake was divested in 1998 and 2000 in favor of leading public Sector Banks and All-India Financial Institutions. STCI has since been renamed as STCI Finance Ltd. In 2006, the PD business was de-merged by STCI into a separate wholly owned subsidiary, STCI Primary Dealer Ltd (STCI PD). STCI PD has an authorized capital of Rs 300 Cr and </w:t>
      </w:r>
      <w:proofErr w:type="gramStart"/>
      <w:r w:rsidRPr="009B6736">
        <w:rPr>
          <w:rFonts w:ascii="Arial" w:hAnsi="Arial" w:cs="Arial"/>
          <w:sz w:val="24"/>
          <w:szCs w:val="24"/>
          <w:lang w:val="en-US"/>
        </w:rPr>
        <w:t>paid up</w:t>
      </w:r>
      <w:proofErr w:type="gramEnd"/>
      <w:r w:rsidRPr="009B6736">
        <w:rPr>
          <w:rFonts w:ascii="Arial" w:hAnsi="Arial" w:cs="Arial"/>
          <w:sz w:val="24"/>
          <w:szCs w:val="24"/>
          <w:lang w:val="en-US"/>
        </w:rPr>
        <w:t xml:space="preserve"> share capital of Rs 150 Cr.</w:t>
      </w:r>
    </w:p>
    <w:p w14:paraId="32CD28D5"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STCI PD has continually endeavored to aid in deepening the sovereign yield curve. STCI PD is an established player in the Fixed Income and money markets, catering to a diversified pool of investors across the Indian geography.</w:t>
      </w:r>
    </w:p>
    <w:p w14:paraId="03A453D1" w14:textId="77777777" w:rsidR="009B6736" w:rsidRDefault="009B6736" w:rsidP="009B6736">
      <w:pPr>
        <w:jc w:val="both"/>
        <w:rPr>
          <w:rFonts w:ascii="Arial" w:hAnsi="Arial" w:cs="Arial"/>
          <w:sz w:val="24"/>
          <w:szCs w:val="24"/>
          <w:lang w:val="en-US"/>
        </w:rPr>
      </w:pPr>
      <w:r w:rsidRPr="009B6736">
        <w:rPr>
          <w:rFonts w:ascii="Arial" w:hAnsi="Arial" w:cs="Arial"/>
          <w:sz w:val="24"/>
          <w:szCs w:val="24"/>
          <w:lang w:val="en-US"/>
        </w:rPr>
        <w:t xml:space="preserve">The core activities of STCI PD comprise of underwriting, bidding, market making and trading in Government Securities, Treasury </w:t>
      </w:r>
      <w:proofErr w:type="gramStart"/>
      <w:r w:rsidRPr="009B6736">
        <w:rPr>
          <w:rFonts w:ascii="Arial" w:hAnsi="Arial" w:cs="Arial"/>
          <w:sz w:val="24"/>
          <w:szCs w:val="24"/>
          <w:lang w:val="en-US"/>
        </w:rPr>
        <w:t>Bills</w:t>
      </w:r>
      <w:proofErr w:type="gramEnd"/>
      <w:r w:rsidRPr="009B6736">
        <w:rPr>
          <w:rFonts w:ascii="Arial" w:hAnsi="Arial" w:cs="Arial"/>
          <w:sz w:val="24"/>
          <w:szCs w:val="24"/>
          <w:lang w:val="en-US"/>
        </w:rPr>
        <w:t xml:space="preserve"> and other fixed income securities. Apart from the above, the Company is an active participant in the money market instruments. STCI PD plays an active role in all segments of the debt market i.e. in both the SLR and non-SLR segments.</w:t>
      </w:r>
    </w:p>
    <w:p w14:paraId="6A2BA943"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The Company runs a proprietary portfolio comprising of </w:t>
      </w:r>
      <w:proofErr w:type="spellStart"/>
      <w:r w:rsidRPr="009B6736">
        <w:rPr>
          <w:rFonts w:ascii="Arial" w:hAnsi="Arial" w:cs="Arial"/>
          <w:sz w:val="24"/>
          <w:szCs w:val="24"/>
          <w:lang w:val="en-US"/>
        </w:rPr>
        <w:t>GoI</w:t>
      </w:r>
      <w:proofErr w:type="spellEnd"/>
      <w:r w:rsidRPr="009B6736">
        <w:rPr>
          <w:rFonts w:ascii="Arial" w:hAnsi="Arial" w:cs="Arial"/>
          <w:sz w:val="24"/>
          <w:szCs w:val="24"/>
          <w:lang w:val="en-US"/>
        </w:rPr>
        <w:t xml:space="preserve"> dated securities (including Floating Rate Bonds, Inflation Indexed Bonds, etc.), </w:t>
      </w:r>
      <w:proofErr w:type="spellStart"/>
      <w:r w:rsidRPr="009B6736">
        <w:rPr>
          <w:rFonts w:ascii="Arial" w:hAnsi="Arial" w:cs="Arial"/>
          <w:sz w:val="24"/>
          <w:szCs w:val="24"/>
          <w:lang w:val="en-US"/>
        </w:rPr>
        <w:t>GoI</w:t>
      </w:r>
      <w:proofErr w:type="spellEnd"/>
      <w:r w:rsidRPr="009B6736">
        <w:rPr>
          <w:rFonts w:ascii="Arial" w:hAnsi="Arial" w:cs="Arial"/>
          <w:sz w:val="24"/>
          <w:szCs w:val="24"/>
          <w:lang w:val="en-US"/>
        </w:rPr>
        <w:t xml:space="preserve"> Special Bonds, State Development Loans, Treasury Bills, Corporate Bonds, Commercial Papers, </w:t>
      </w:r>
      <w:r w:rsidRPr="009B6736">
        <w:rPr>
          <w:rFonts w:ascii="Arial" w:hAnsi="Arial" w:cs="Arial"/>
          <w:sz w:val="24"/>
          <w:szCs w:val="24"/>
          <w:lang w:val="en-US"/>
        </w:rPr>
        <w:lastRenderedPageBreak/>
        <w:t xml:space="preserve">Certificates of Deposits, etc. As a Primary Dealer the Company is also allowed to participate and trade in STRIPS, Interest Rate Derivatives, When Issued market and undertake short selling in G-Secs on NDS OM. Since </w:t>
      </w:r>
      <w:proofErr w:type="spellStart"/>
      <w:r w:rsidRPr="009B6736">
        <w:rPr>
          <w:rFonts w:ascii="Arial" w:hAnsi="Arial" w:cs="Arial"/>
          <w:sz w:val="24"/>
          <w:szCs w:val="24"/>
          <w:lang w:val="en-US"/>
        </w:rPr>
        <w:t>may</w:t>
      </w:r>
      <w:proofErr w:type="spellEnd"/>
      <w:r w:rsidRPr="009B6736">
        <w:rPr>
          <w:rFonts w:ascii="Arial" w:hAnsi="Arial" w:cs="Arial"/>
          <w:sz w:val="24"/>
          <w:szCs w:val="24"/>
          <w:lang w:val="en-US"/>
        </w:rPr>
        <w:t xml:space="preserve"> 2015, STCI has diversified its portfolio and have started dealing in Equity and Equity F&amp;O markets on a proprietary basis</w:t>
      </w:r>
    </w:p>
    <w:p w14:paraId="2809595D"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STCI PD is a leading player in the retail and mid-segment of the debt market with a large and diversified client base having pan India presence. It has been actively facilitating clients in shaping strategies, assisting in achievement of investment objectives while ensuring efficient service aided by quality research. STCI PD has been at the forefront in adhering to sound business practices and transparency in all its business dealings.</w:t>
      </w:r>
    </w:p>
    <w:p w14:paraId="09B61F74"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To help clients take well informed decisions, STCI publishes daily market updates along with a host of other macro updates which impact market dynamics. </w:t>
      </w:r>
    </w:p>
    <w:p w14:paraId="2AE15060"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STCI PD is an active member of Primary Dealers’ Association of India (PDAI) and the Fixed Income and Money Market Derivatives Association (FIMMDA). STCI PD has continued association with several committees which interact with regulatory authorities to provide feedback for both product and market development.</w:t>
      </w:r>
    </w:p>
    <w:p w14:paraId="3288547D"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Products traded by </w:t>
      </w:r>
      <w:proofErr w:type="gramStart"/>
      <w:r w:rsidRPr="009B6736">
        <w:rPr>
          <w:rFonts w:ascii="Arial" w:hAnsi="Arial" w:cs="Arial"/>
          <w:sz w:val="24"/>
          <w:szCs w:val="24"/>
          <w:lang w:val="en-US"/>
        </w:rPr>
        <w:t>STCI :</w:t>
      </w:r>
      <w:proofErr w:type="gramEnd"/>
      <w:r w:rsidRPr="009B6736">
        <w:rPr>
          <w:rFonts w:ascii="Arial" w:hAnsi="Arial" w:cs="Arial"/>
          <w:sz w:val="24"/>
          <w:szCs w:val="24"/>
          <w:lang w:val="en-US"/>
        </w:rPr>
        <w:t xml:space="preserve"> Government bonds, T bills, Corporate Bonds, ICDs, CPs, CDs, Repo instruments, Interest Rate derivatives</w:t>
      </w:r>
    </w:p>
    <w:p w14:paraId="331E0F49"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xml:space="preserve">An interest rate derivative is an instrument where the underlying asset is the right to pay or receive an (usually notional) amount of money at a given interest rate. In other words, interest rate derivatives are financial instruments based on an underlying financial security whose value is affected by interest rate changes. These products are used by a variety of participants </w:t>
      </w:r>
      <w:proofErr w:type="gramStart"/>
      <w:r w:rsidRPr="009B6736">
        <w:rPr>
          <w:rFonts w:ascii="Arial" w:hAnsi="Arial" w:cs="Arial"/>
          <w:sz w:val="24"/>
          <w:szCs w:val="24"/>
          <w:lang w:val="en-US"/>
        </w:rPr>
        <w:t>in order to</w:t>
      </w:r>
      <w:proofErr w:type="gramEnd"/>
      <w:r w:rsidRPr="009B6736">
        <w:rPr>
          <w:rFonts w:ascii="Arial" w:hAnsi="Arial" w:cs="Arial"/>
          <w:sz w:val="24"/>
          <w:szCs w:val="24"/>
          <w:lang w:val="en-US"/>
        </w:rPr>
        <w:t xml:space="preserve"> hedge their exposures against adverse interest rate movements. Such instruments are also used for speculation purposes, which broadly serve as an indicator for interest rate expectations. In India, the interest rate derivatives segment is at a growing stage. As of now, the interest rate derivatives permitted by regulatory guidelines in India </w:t>
      </w:r>
      <w:proofErr w:type="gramStart"/>
      <w:r w:rsidRPr="009B6736">
        <w:rPr>
          <w:rFonts w:ascii="Arial" w:hAnsi="Arial" w:cs="Arial"/>
          <w:sz w:val="24"/>
          <w:szCs w:val="24"/>
          <w:lang w:val="en-US"/>
        </w:rPr>
        <w:t>include :</w:t>
      </w:r>
      <w:proofErr w:type="gramEnd"/>
    </w:p>
    <w:p w14:paraId="233D2F20"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Interest Rate Swaps (IRS) is a financial contract between two parties exchanging or swapping a stream of interest payments for a `notional principal’ amount on multiple occasions during a specified period. Such contracts generally involve exchange of a `fixed to floating’ or `floating to floating’ rates of interest. Accordingly, on each payment date - that occurs during the swap period - cash payments based on fixed/ floating and floating rates, are made by the parties to one another. Benchmark rates followed are MIFOR and MIBOR</w:t>
      </w:r>
    </w:p>
    <w:p w14:paraId="7D459CAA" w14:textId="77777777"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Interest Rate Futures (IRF) is "an agreement to buy or sell a debt instrument at a specified future date at a price that is fixed today." The underlying security for Interest Rate Futures is either a Government Security or a T-Bill.</w:t>
      </w:r>
    </w:p>
    <w:p w14:paraId="27792B17" w14:textId="77777777" w:rsidR="00F27798" w:rsidRPr="00443D1B" w:rsidRDefault="00F27798" w:rsidP="009B6736">
      <w:pPr>
        <w:jc w:val="both"/>
        <w:rPr>
          <w:rFonts w:ascii="Arial" w:hAnsi="Arial" w:cs="Arial"/>
          <w:sz w:val="24"/>
          <w:szCs w:val="24"/>
          <w:lang w:val="en-US"/>
        </w:rPr>
      </w:pPr>
      <w:r w:rsidRPr="00443D1B">
        <w:rPr>
          <w:rFonts w:ascii="Arial" w:hAnsi="Arial" w:cs="Arial"/>
          <w:sz w:val="24"/>
          <w:szCs w:val="24"/>
          <w:lang w:val="en-US"/>
        </w:rPr>
        <w:t xml:space="preserve">                         </w:t>
      </w:r>
    </w:p>
    <w:p w14:paraId="5FC595E4" w14:textId="77777777" w:rsidR="00F27798" w:rsidRPr="00443D1B" w:rsidRDefault="00F27798" w:rsidP="009B6736">
      <w:pPr>
        <w:jc w:val="both"/>
        <w:rPr>
          <w:rFonts w:ascii="Arial" w:hAnsi="Arial" w:cs="Arial"/>
          <w:sz w:val="24"/>
          <w:szCs w:val="24"/>
          <w:lang w:val="en-US"/>
        </w:rPr>
      </w:pPr>
    </w:p>
    <w:p w14:paraId="346E4658" w14:textId="77777777" w:rsidR="00F27798" w:rsidRPr="00443D1B" w:rsidRDefault="00F27798" w:rsidP="009B6736">
      <w:pPr>
        <w:jc w:val="both"/>
        <w:rPr>
          <w:rFonts w:ascii="Arial" w:hAnsi="Arial" w:cs="Arial"/>
          <w:sz w:val="24"/>
          <w:szCs w:val="24"/>
          <w:lang w:val="en-US"/>
        </w:rPr>
      </w:pPr>
    </w:p>
    <w:p w14:paraId="579D0FE9" w14:textId="3A143627" w:rsidR="00F27798" w:rsidRPr="00443D1B" w:rsidRDefault="00F27798" w:rsidP="00F27798">
      <w:pPr>
        <w:spacing w:after="0"/>
        <w:ind w:left="2160" w:firstLine="720"/>
        <w:jc w:val="both"/>
        <w:rPr>
          <w:rFonts w:ascii="Arial" w:hAnsi="Arial" w:cs="Arial"/>
          <w:b/>
          <w:bCs/>
          <w:sz w:val="24"/>
          <w:szCs w:val="24"/>
          <w:lang w:val="en-US"/>
        </w:rPr>
      </w:pPr>
      <w:r w:rsidRPr="00443D1B">
        <w:rPr>
          <w:rFonts w:ascii="Arial" w:hAnsi="Arial" w:cs="Arial"/>
          <w:b/>
          <w:bCs/>
          <w:sz w:val="24"/>
          <w:szCs w:val="24"/>
          <w:lang w:val="en-US"/>
        </w:rPr>
        <w:lastRenderedPageBreak/>
        <w:t xml:space="preserve"> SBI – DHFI</w:t>
      </w:r>
    </w:p>
    <w:p w14:paraId="537267A5" w14:textId="77777777" w:rsidR="00F27798" w:rsidRPr="00443D1B" w:rsidRDefault="00F27798" w:rsidP="00F27798">
      <w:pPr>
        <w:pStyle w:val="NormalWeb"/>
        <w:shd w:val="clear" w:color="auto" w:fill="FFFFFF"/>
        <w:spacing w:before="0" w:beforeAutospacing="0" w:after="0" w:afterAutospacing="0" w:line="405" w:lineRule="atLeast"/>
        <w:jc w:val="both"/>
        <w:rPr>
          <w:rFonts w:ascii="Arial" w:hAnsi="Arial" w:cs="Arial"/>
          <w:color w:val="000000"/>
        </w:rPr>
      </w:pPr>
      <w:r w:rsidRPr="00443D1B">
        <w:rPr>
          <w:rFonts w:ascii="Arial" w:hAnsi="Arial" w:cs="Arial"/>
          <w:color w:val="000000"/>
        </w:rPr>
        <w:t>SBI DFHI Limited is a Standalone Primary Dealer, an institution created by RBI to support the book building process in primary auctions of Government Securities and provide necessary depth and liquidity to the secondary market in Government Securities.</w:t>
      </w:r>
    </w:p>
    <w:p w14:paraId="66FEF6FC" w14:textId="77777777" w:rsidR="00F27798" w:rsidRPr="00443D1B" w:rsidRDefault="00F27798" w:rsidP="00F27798">
      <w:pPr>
        <w:pStyle w:val="NormalWeb"/>
        <w:shd w:val="clear" w:color="auto" w:fill="FFFFFF"/>
        <w:spacing w:before="0" w:beforeAutospacing="0" w:after="0" w:afterAutospacing="0" w:line="405" w:lineRule="atLeast"/>
        <w:jc w:val="both"/>
        <w:rPr>
          <w:rFonts w:ascii="Arial" w:hAnsi="Arial" w:cs="Arial"/>
          <w:color w:val="000000"/>
        </w:rPr>
      </w:pPr>
      <w:r w:rsidRPr="00443D1B">
        <w:rPr>
          <w:rFonts w:ascii="Arial" w:hAnsi="Arial" w:cs="Arial"/>
          <w:color w:val="000000"/>
        </w:rPr>
        <w:t xml:space="preserve">The Company is a subsidiary of State Bank of India, created out of amalgamation in 2004 of two leading players in the domestic Money and Debt Markets, the RBI promoted Discount &amp; Finance House of India (DFHI) and SBI Gilts Ltd., a subsidiary of India’s largest commercial bank. It is one of the major players in the Primary Dealer segment of the domestic debt market with a Net Worth of ₹1,247.97 crore (as on 31st March 2023) and presence in all major financial </w:t>
      </w:r>
      <w:proofErr w:type="spellStart"/>
      <w:r w:rsidRPr="00443D1B">
        <w:rPr>
          <w:rFonts w:ascii="Arial" w:hAnsi="Arial" w:cs="Arial"/>
          <w:color w:val="000000"/>
        </w:rPr>
        <w:t>centers</w:t>
      </w:r>
      <w:proofErr w:type="spellEnd"/>
      <w:r w:rsidRPr="00443D1B">
        <w:rPr>
          <w:rFonts w:ascii="Arial" w:hAnsi="Arial" w:cs="Arial"/>
          <w:color w:val="000000"/>
        </w:rPr>
        <w:t xml:space="preserve"> of the country. It posted an impressive turnover of ₹14,80,133.58 crore in Government Securities/SDLs and ₹1,06,498.15 crore in Treasury Bills for the financial year 2022-23.</w:t>
      </w:r>
    </w:p>
    <w:p w14:paraId="5E561DC7" w14:textId="77777777" w:rsidR="00F27798" w:rsidRPr="00443D1B" w:rsidRDefault="00F27798" w:rsidP="00F27798">
      <w:pPr>
        <w:pStyle w:val="NormalWeb"/>
        <w:shd w:val="clear" w:color="auto" w:fill="FFFFFF"/>
        <w:spacing w:before="0" w:beforeAutospacing="0" w:after="0" w:afterAutospacing="0" w:line="405" w:lineRule="atLeast"/>
        <w:jc w:val="both"/>
        <w:rPr>
          <w:rFonts w:ascii="Arial" w:hAnsi="Arial" w:cs="Arial"/>
          <w:color w:val="000000"/>
        </w:rPr>
      </w:pPr>
      <w:r w:rsidRPr="00443D1B">
        <w:rPr>
          <w:rFonts w:ascii="Arial" w:hAnsi="Arial" w:cs="Arial"/>
          <w:color w:val="000000"/>
        </w:rPr>
        <w:t xml:space="preserve">As a Primary Dealer, the Company trades in Treasury Bills, Government securities, State Development Loans, Corporate Bonds and </w:t>
      </w:r>
      <w:proofErr w:type="gramStart"/>
      <w:r w:rsidRPr="00443D1B">
        <w:rPr>
          <w:rFonts w:ascii="Arial" w:hAnsi="Arial" w:cs="Arial"/>
          <w:color w:val="000000"/>
        </w:rPr>
        <w:t>Short Term</w:t>
      </w:r>
      <w:proofErr w:type="gramEnd"/>
      <w:r w:rsidRPr="00443D1B">
        <w:rPr>
          <w:rFonts w:ascii="Arial" w:hAnsi="Arial" w:cs="Arial"/>
          <w:color w:val="000000"/>
        </w:rPr>
        <w:t xml:space="preserve"> Money Market instruments (Certificates of Deposit, Commercial Paper, Inter-Corporate Deposits, Call &amp; Notice / Term Money). It is very active in retailing of Government Securities, including small lots.</w:t>
      </w:r>
    </w:p>
    <w:p w14:paraId="28C13B47" w14:textId="77777777" w:rsidR="00F27798" w:rsidRPr="00443D1B" w:rsidRDefault="00F27798" w:rsidP="00F27798">
      <w:pPr>
        <w:pStyle w:val="NormalWeb"/>
        <w:shd w:val="clear" w:color="auto" w:fill="FFFFFF"/>
        <w:spacing w:before="0" w:beforeAutospacing="0" w:after="0" w:afterAutospacing="0" w:line="405" w:lineRule="atLeast"/>
        <w:jc w:val="both"/>
        <w:rPr>
          <w:rFonts w:ascii="Arial" w:hAnsi="Arial" w:cs="Arial"/>
          <w:color w:val="000000"/>
        </w:rPr>
      </w:pPr>
      <w:r w:rsidRPr="00443D1B">
        <w:rPr>
          <w:rFonts w:ascii="Arial" w:hAnsi="Arial" w:cs="Arial"/>
          <w:color w:val="000000"/>
        </w:rPr>
        <w:t>The Company is led by a team of experienced professionals and driven by core-values. The affairs of the Company are managed by MD &amp; CEO, an official of the rank of a Chief General Manager in SBI, under the overall supervision and guidance of a Board of Directors chaired by the MD (Corporate Banking &amp; Subsidiaries) of SBI and comprising of reputed market professionals and academicians of eminence.</w:t>
      </w:r>
    </w:p>
    <w:p w14:paraId="72980EE1" w14:textId="6F3ECF21" w:rsidR="009B6736" w:rsidRPr="009B6736" w:rsidRDefault="009B6736" w:rsidP="009B6736">
      <w:pPr>
        <w:jc w:val="both"/>
        <w:rPr>
          <w:rFonts w:ascii="Arial" w:hAnsi="Arial" w:cs="Arial"/>
          <w:sz w:val="24"/>
          <w:szCs w:val="24"/>
        </w:rPr>
      </w:pPr>
      <w:r w:rsidRPr="009B6736">
        <w:rPr>
          <w:rFonts w:ascii="Arial" w:hAnsi="Arial" w:cs="Arial"/>
          <w:sz w:val="24"/>
          <w:szCs w:val="24"/>
          <w:lang w:val="en-US"/>
        </w:rPr>
        <w:t> </w:t>
      </w:r>
    </w:p>
    <w:p w14:paraId="51197609" w14:textId="7CA19895" w:rsidR="009B6736" w:rsidRDefault="00443D1B" w:rsidP="00443D1B">
      <w:pPr>
        <w:ind w:left="2160"/>
        <w:jc w:val="both"/>
        <w:rPr>
          <w:rFonts w:ascii="Arial" w:hAnsi="Arial" w:cs="Arial"/>
          <w:sz w:val="24"/>
          <w:szCs w:val="24"/>
        </w:rPr>
      </w:pPr>
      <w:r>
        <w:rPr>
          <w:rFonts w:ascii="Arial" w:hAnsi="Arial" w:cs="Arial"/>
          <w:sz w:val="24"/>
          <w:szCs w:val="24"/>
        </w:rPr>
        <w:t>CCIL (Clearing Corporation of India Limited)</w:t>
      </w:r>
    </w:p>
    <w:p w14:paraId="0D11F680"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The Clearing Corporation of India Ltd. (</w:t>
      </w:r>
      <w:proofErr w:type="gramStart"/>
      <w:r w:rsidRPr="00443D1B">
        <w:rPr>
          <w:rFonts w:ascii="Arial" w:hAnsi="Arial" w:cs="Arial"/>
          <w:sz w:val="24"/>
          <w:szCs w:val="24"/>
          <w:lang w:val="en-US"/>
        </w:rPr>
        <w:t>CCIL)  was</w:t>
      </w:r>
      <w:proofErr w:type="gramEnd"/>
      <w:r w:rsidRPr="00443D1B">
        <w:rPr>
          <w:rFonts w:ascii="Arial" w:hAnsi="Arial" w:cs="Arial"/>
          <w:sz w:val="24"/>
          <w:szCs w:val="24"/>
          <w:lang w:val="en-US"/>
        </w:rPr>
        <w:t xml:space="preserve"> set up in April, 2001 to provide guaranteed clearing and settlement functions for transactions in Money, G-Secs, Foreign Exchange and Derivative markets. The introduction of guaranteed clearing and settlement led to significant improvement in the market efficiency, transparency, liquidity and risk management/measurement practices in </w:t>
      </w:r>
      <w:proofErr w:type="gramStart"/>
      <w:r w:rsidRPr="00443D1B">
        <w:rPr>
          <w:rFonts w:ascii="Arial" w:hAnsi="Arial" w:cs="Arial"/>
          <w:sz w:val="24"/>
          <w:szCs w:val="24"/>
          <w:lang w:val="en-US"/>
        </w:rPr>
        <w:t>these market</w:t>
      </w:r>
      <w:proofErr w:type="gramEnd"/>
      <w:r w:rsidRPr="00443D1B">
        <w:rPr>
          <w:rFonts w:ascii="Arial" w:hAnsi="Arial" w:cs="Arial"/>
          <w:sz w:val="24"/>
          <w:szCs w:val="24"/>
          <w:lang w:val="en-US"/>
        </w:rPr>
        <w:t xml:space="preserve"> along with added benefits like reduced settlement and operational risk, savings on settlement costs, etc.</w:t>
      </w:r>
    </w:p>
    <w:p w14:paraId="052A3BB5"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CCIL has continuously evolved over the years with the shifting paradigms of the financial arena to take on various roles in the financial market. Through its fully owned subsidiary, Clear Corp Dealing Systems Limited (CDSL), CCIL has introduced various platforms for electronic execution of deals in various market segment. Further, CDSL has developed, </w:t>
      </w:r>
      <w:proofErr w:type="gramStart"/>
      <w:r w:rsidRPr="00443D1B">
        <w:rPr>
          <w:rFonts w:ascii="Arial" w:hAnsi="Arial" w:cs="Arial"/>
          <w:sz w:val="24"/>
          <w:szCs w:val="24"/>
          <w:lang w:val="en-US"/>
        </w:rPr>
        <w:t>implemented</w:t>
      </w:r>
      <w:proofErr w:type="gramEnd"/>
      <w:r w:rsidRPr="00443D1B">
        <w:rPr>
          <w:rFonts w:ascii="Arial" w:hAnsi="Arial" w:cs="Arial"/>
          <w:sz w:val="24"/>
          <w:szCs w:val="24"/>
          <w:lang w:val="en-US"/>
        </w:rPr>
        <w:t xml:space="preserve"> and manages the NDS-OM - the RBI owned anonymous </w:t>
      </w:r>
      <w:r w:rsidRPr="00443D1B">
        <w:rPr>
          <w:rFonts w:ascii="Arial" w:hAnsi="Arial" w:cs="Arial"/>
          <w:sz w:val="24"/>
          <w:szCs w:val="24"/>
          <w:lang w:val="en-US"/>
        </w:rPr>
        <w:lastRenderedPageBreak/>
        <w:t>electronic trading system for dealing in G-Secs and also for reporting of OTC deals as well as the NDS-CALL platform which facilitates electronic dealing in the Call, Notice &amp; Term Money market.</w:t>
      </w:r>
    </w:p>
    <w:p w14:paraId="404152DD" w14:textId="77777777" w:rsidR="00443D1B" w:rsidRPr="00443D1B" w:rsidRDefault="00443D1B" w:rsidP="00443D1B">
      <w:pPr>
        <w:jc w:val="both"/>
        <w:rPr>
          <w:rFonts w:ascii="Arial" w:hAnsi="Arial" w:cs="Arial"/>
          <w:sz w:val="24"/>
          <w:szCs w:val="24"/>
        </w:rPr>
      </w:pPr>
      <w:r w:rsidRPr="00443D1B">
        <w:rPr>
          <w:rFonts w:ascii="Arial" w:hAnsi="Arial" w:cs="Arial"/>
          <w:i/>
          <w:iCs/>
          <w:sz w:val="24"/>
          <w:szCs w:val="24"/>
          <w:lang w:val="en-US"/>
        </w:rPr>
        <w:t xml:space="preserve"> </w:t>
      </w:r>
      <w:r w:rsidRPr="00443D1B">
        <w:rPr>
          <w:rFonts w:ascii="Arial" w:hAnsi="Arial" w:cs="Arial"/>
          <w:sz w:val="24"/>
          <w:szCs w:val="24"/>
          <w:lang w:val="en-US"/>
        </w:rPr>
        <w:t>CCIL was recognized as a Qualified Central Counterparty (QCCP) by the RBI in 2014.</w:t>
      </w:r>
    </w:p>
    <w:p w14:paraId="2514C666"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The Company was incorporated with the authorized Equity Share Capital of Rs. 50 Crores. Present ownership pattern </w:t>
      </w:r>
      <w:proofErr w:type="gramStart"/>
      <w:r w:rsidRPr="00443D1B">
        <w:rPr>
          <w:rFonts w:ascii="Arial" w:hAnsi="Arial" w:cs="Arial"/>
          <w:sz w:val="24"/>
          <w:szCs w:val="24"/>
          <w:lang w:val="en-US"/>
        </w:rPr>
        <w:t>is :</w:t>
      </w:r>
      <w:proofErr w:type="gramEnd"/>
      <w:r w:rsidRPr="00443D1B">
        <w:rPr>
          <w:rFonts w:ascii="Arial" w:hAnsi="Arial" w:cs="Arial"/>
          <w:sz w:val="24"/>
          <w:szCs w:val="24"/>
          <w:lang w:val="en-US"/>
        </w:rPr>
        <w:t xml:space="preserve"> 62.2 % by commercial banks, 14% by Financial Institutions, 23.8% by NBFCs/ Insurance Companies/ other Corporate Bodies/ Primary Dealers</w:t>
      </w:r>
    </w:p>
    <w:p w14:paraId="42F0081D" w14:textId="78443CA0" w:rsidR="009B6736" w:rsidRPr="00443D1B" w:rsidRDefault="00443D1B" w:rsidP="00443D1B">
      <w:pPr>
        <w:jc w:val="both"/>
        <w:rPr>
          <w:rFonts w:ascii="Arial" w:hAnsi="Arial" w:cs="Arial"/>
        </w:rPr>
      </w:pPr>
      <w:r w:rsidRPr="00443D1B">
        <w:rPr>
          <w:rFonts w:ascii="Arial" w:hAnsi="Arial" w:cs="Arial"/>
        </w:rPr>
        <w:t>Criteria for becoming the member of CCIL are as follows</w:t>
      </w:r>
    </w:p>
    <w:p w14:paraId="7B3AD031"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Applicant shall </w:t>
      </w:r>
      <w:proofErr w:type="gramStart"/>
      <w:r w:rsidRPr="00443D1B">
        <w:rPr>
          <w:rFonts w:ascii="Arial" w:hAnsi="Arial" w:cs="Arial"/>
          <w:sz w:val="24"/>
          <w:szCs w:val="24"/>
          <w:lang w:val="en-US"/>
        </w:rPr>
        <w:t>be :</w:t>
      </w:r>
      <w:proofErr w:type="gramEnd"/>
      <w:r w:rsidRPr="00443D1B">
        <w:rPr>
          <w:rFonts w:ascii="Arial" w:hAnsi="Arial" w:cs="Arial"/>
          <w:sz w:val="24"/>
          <w:szCs w:val="24"/>
          <w:lang w:val="en-US"/>
        </w:rPr>
        <w:t xml:space="preserve"> 1. be a Bank/ Financial Institution /Primary Dealer/ Mutual Fund Payments Bank/ Small Finance Bank/ NBFC/ Insurance Company </w:t>
      </w:r>
    </w:p>
    <w:p w14:paraId="1A51E469"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2. have opened SGL Account or Gilt Account </w:t>
      </w:r>
    </w:p>
    <w:p w14:paraId="52B44651"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3. have opened a Current Account with the Reserve Bank of India </w:t>
      </w:r>
    </w:p>
    <w:p w14:paraId="68FA77C7"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4. be a Member of RBI–E-Kuber and INFINET</w:t>
      </w:r>
    </w:p>
    <w:p w14:paraId="6BD1EBC6"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 </w:t>
      </w:r>
      <w:r w:rsidRPr="00443D1B">
        <w:rPr>
          <w:rFonts w:ascii="Arial" w:hAnsi="Arial" w:cs="Arial"/>
          <w:sz w:val="24"/>
          <w:szCs w:val="24"/>
        </w:rPr>
        <w:t>5. not have any record of repeated failure in complying with the regulatory requirements</w:t>
      </w:r>
    </w:p>
    <w:p w14:paraId="6F4F0D01" w14:textId="77777777" w:rsidR="00443D1B" w:rsidRPr="00443D1B" w:rsidRDefault="00443D1B" w:rsidP="00443D1B">
      <w:pPr>
        <w:jc w:val="both"/>
        <w:rPr>
          <w:rFonts w:ascii="Arial" w:hAnsi="Arial" w:cs="Arial"/>
          <w:sz w:val="24"/>
          <w:szCs w:val="24"/>
        </w:rPr>
      </w:pPr>
      <w:r w:rsidRPr="00443D1B">
        <w:rPr>
          <w:rFonts w:ascii="Arial" w:hAnsi="Arial" w:cs="Arial"/>
          <w:sz w:val="24"/>
          <w:szCs w:val="24"/>
        </w:rPr>
        <w:t xml:space="preserve"> 6. not have been subject to an order of statutory disqualification or an order of similar effect issued by any regulatory authority </w:t>
      </w:r>
    </w:p>
    <w:p w14:paraId="46B2C5CA" w14:textId="77777777" w:rsidR="00443D1B" w:rsidRPr="00443D1B" w:rsidRDefault="00443D1B" w:rsidP="00443D1B">
      <w:pPr>
        <w:jc w:val="both"/>
        <w:rPr>
          <w:rFonts w:ascii="Arial" w:hAnsi="Arial" w:cs="Arial"/>
          <w:sz w:val="24"/>
          <w:szCs w:val="24"/>
        </w:rPr>
      </w:pPr>
      <w:r w:rsidRPr="00443D1B">
        <w:rPr>
          <w:rFonts w:ascii="Arial" w:hAnsi="Arial" w:cs="Arial"/>
          <w:sz w:val="24"/>
          <w:szCs w:val="24"/>
        </w:rPr>
        <w:t xml:space="preserve">7. have adequate risk management systems in place and shall have qualified personnel in its employment </w:t>
      </w:r>
      <w:r w:rsidRPr="00443D1B">
        <w:rPr>
          <w:rFonts w:ascii="Arial" w:hAnsi="Arial" w:cs="Arial"/>
          <w:sz w:val="24"/>
          <w:szCs w:val="24"/>
          <w:lang w:val="en-US"/>
        </w:rPr>
        <w:t xml:space="preserve">8. fulfilled Capital Adequacy norms / Minimum Net Worth requirements </w:t>
      </w:r>
    </w:p>
    <w:p w14:paraId="535ABBE9"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9. be a profitable organization</w:t>
      </w:r>
    </w:p>
    <w:p w14:paraId="5AE7B834"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Financial criteria</w:t>
      </w:r>
    </w:p>
    <w:p w14:paraId="06928593"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1) Mutual Fund applicants shall have minimum Assets under Management (AUM) worth Rs.100 crores.</w:t>
      </w:r>
      <w:r w:rsidRPr="00443D1B">
        <w:rPr>
          <w:rFonts w:ascii="Arial" w:hAnsi="Arial" w:cs="Arial"/>
          <w:sz w:val="24"/>
          <w:szCs w:val="24"/>
          <w:lang w:val="en-US"/>
        </w:rPr>
        <w:br/>
        <w:t>2) Cooperative Banks shall have minimum Net worth of Rs. 25 crores and maximum Net NPAs at 5%.</w:t>
      </w:r>
      <w:r w:rsidRPr="00443D1B">
        <w:rPr>
          <w:rFonts w:ascii="Arial" w:hAnsi="Arial" w:cs="Arial"/>
          <w:sz w:val="24"/>
          <w:szCs w:val="24"/>
          <w:lang w:val="en-US"/>
        </w:rPr>
        <w:br/>
        <w:t>3) The Insurance Companies eligible for the Membership of CCIL shall have the minimum Net Worth of Rs. 100 crores.</w:t>
      </w:r>
      <w:r w:rsidRPr="00443D1B">
        <w:rPr>
          <w:rFonts w:ascii="Arial" w:hAnsi="Arial" w:cs="Arial"/>
          <w:sz w:val="24"/>
          <w:szCs w:val="24"/>
          <w:lang w:val="en-US"/>
        </w:rPr>
        <w:br/>
        <w:t>4) Provident Funds &amp; Trusts applicants shall have a minimum corpus of Rs.100 crores.</w:t>
      </w:r>
      <w:r w:rsidRPr="00443D1B">
        <w:rPr>
          <w:rFonts w:ascii="Arial" w:hAnsi="Arial" w:cs="Arial"/>
          <w:sz w:val="24"/>
          <w:szCs w:val="24"/>
          <w:lang w:val="en-US"/>
        </w:rPr>
        <w:br/>
        <w:t>5) The NBFCs applicants shall have minimum Net Worth of Rs.100.00 crores.</w:t>
      </w:r>
    </w:p>
    <w:p w14:paraId="4ECC6B66"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All the secondary market transactions in Government Securities i.e. outright, market repo and triparty repo, are settled through Clearing Corporation of India Limited (CCIL). CCIL acts as a Central Counterparty (CCP) to all trades received for settlement subject to exposure check. The settlement obligations are determined through multilateral netting. The settlement is achieved under DVP III mode. </w:t>
      </w:r>
    </w:p>
    <w:p w14:paraId="13411993" w14:textId="77777777" w:rsidR="00443D1B" w:rsidRPr="00443D1B" w:rsidRDefault="00443D1B" w:rsidP="00443D1B">
      <w:pPr>
        <w:jc w:val="both"/>
        <w:rPr>
          <w:rFonts w:ascii="Arial" w:hAnsi="Arial" w:cs="Arial"/>
          <w:sz w:val="24"/>
          <w:szCs w:val="24"/>
        </w:rPr>
      </w:pPr>
      <w:r w:rsidRPr="00443D1B">
        <w:rPr>
          <w:rFonts w:ascii="Arial" w:hAnsi="Arial" w:cs="Arial"/>
          <w:sz w:val="24"/>
          <w:szCs w:val="24"/>
          <w:lang w:val="en-US"/>
        </w:rPr>
        <w:t xml:space="preserve">The funds settlement is achieved in the current account of the member with Settlement Bank or </w:t>
      </w:r>
      <w:proofErr w:type="gramStart"/>
      <w:r w:rsidRPr="00443D1B">
        <w:rPr>
          <w:rFonts w:ascii="Arial" w:hAnsi="Arial" w:cs="Arial"/>
          <w:sz w:val="24"/>
          <w:szCs w:val="24"/>
          <w:lang w:val="en-US"/>
        </w:rPr>
        <w:t>RBI as the case may be</w:t>
      </w:r>
      <w:proofErr w:type="gramEnd"/>
      <w:r w:rsidRPr="00443D1B">
        <w:rPr>
          <w:rFonts w:ascii="Arial" w:hAnsi="Arial" w:cs="Arial"/>
          <w:sz w:val="24"/>
          <w:szCs w:val="24"/>
          <w:lang w:val="en-US"/>
        </w:rPr>
        <w:t xml:space="preserve">. The securities obligations are determined for outright </w:t>
      </w:r>
      <w:r w:rsidRPr="00443D1B">
        <w:rPr>
          <w:rFonts w:ascii="Arial" w:hAnsi="Arial" w:cs="Arial"/>
          <w:sz w:val="24"/>
          <w:szCs w:val="24"/>
          <w:lang w:val="en-US"/>
        </w:rPr>
        <w:lastRenderedPageBreak/>
        <w:t xml:space="preserve">and market repo trades (proprietary and gilt </w:t>
      </w:r>
      <w:proofErr w:type="gramStart"/>
      <w:r w:rsidRPr="00443D1B">
        <w:rPr>
          <w:rFonts w:ascii="Arial" w:hAnsi="Arial" w:cs="Arial"/>
          <w:sz w:val="24"/>
          <w:szCs w:val="24"/>
          <w:lang w:val="en-US"/>
        </w:rPr>
        <w:t>account)  and</w:t>
      </w:r>
      <w:proofErr w:type="gramEnd"/>
      <w:r w:rsidRPr="00443D1B">
        <w:rPr>
          <w:rFonts w:ascii="Arial" w:hAnsi="Arial" w:cs="Arial"/>
          <w:sz w:val="24"/>
          <w:szCs w:val="24"/>
          <w:lang w:val="en-US"/>
        </w:rPr>
        <w:t xml:space="preserve"> settled in their SGL and CSGL account respectively and demat trades in the CSGL of the depository.</w:t>
      </w:r>
    </w:p>
    <w:p w14:paraId="055B4383" w14:textId="65A308CE" w:rsidR="009B6736" w:rsidRPr="00F9133A" w:rsidRDefault="00F9133A" w:rsidP="00F9133A">
      <w:pPr>
        <w:spacing w:before="240"/>
        <w:jc w:val="both"/>
        <w:rPr>
          <w:rFonts w:ascii="Roboto" w:hAnsi="Roboto"/>
          <w:b/>
          <w:bCs/>
          <w:color w:val="3B3B3B"/>
          <w:shd w:val="clear" w:color="auto" w:fill="FFFFFF"/>
        </w:rPr>
      </w:pPr>
      <w:r>
        <w:rPr>
          <w:rFonts w:ascii="Arial" w:hAnsi="Arial" w:cs="Arial"/>
          <w:sz w:val="24"/>
          <w:szCs w:val="24"/>
        </w:rPr>
        <w:t xml:space="preserve">                 </w:t>
      </w:r>
      <w:r w:rsidRPr="00F9133A">
        <w:rPr>
          <w:rFonts w:ascii="Arial" w:hAnsi="Arial" w:cs="Arial"/>
          <w:b/>
          <w:bCs/>
          <w:sz w:val="24"/>
          <w:szCs w:val="24"/>
        </w:rPr>
        <w:t xml:space="preserve">FIMMDA </w:t>
      </w:r>
      <w:proofErr w:type="gramStart"/>
      <w:r w:rsidRPr="00F9133A">
        <w:rPr>
          <w:rFonts w:ascii="Arial" w:hAnsi="Arial" w:cs="Arial"/>
          <w:b/>
          <w:bCs/>
          <w:sz w:val="24"/>
          <w:szCs w:val="24"/>
        </w:rPr>
        <w:t>(</w:t>
      </w:r>
      <w:r w:rsidRPr="00F9133A">
        <w:rPr>
          <w:rFonts w:ascii="Roboto" w:hAnsi="Roboto"/>
          <w:b/>
          <w:bCs/>
          <w:color w:val="3B3B3B"/>
          <w:shd w:val="clear" w:color="auto" w:fill="FFFFFF"/>
        </w:rPr>
        <w:t> Fixed</w:t>
      </w:r>
      <w:proofErr w:type="gramEnd"/>
      <w:r w:rsidRPr="00F9133A">
        <w:rPr>
          <w:rFonts w:ascii="Roboto" w:hAnsi="Roboto"/>
          <w:b/>
          <w:bCs/>
          <w:color w:val="3B3B3B"/>
          <w:shd w:val="clear" w:color="auto" w:fill="FFFFFF"/>
        </w:rPr>
        <w:t xml:space="preserve"> Income Money Market and Derivatives Association of India )</w:t>
      </w:r>
    </w:p>
    <w:p w14:paraId="4BBEFCCF" w14:textId="77777777" w:rsidR="00C935D6" w:rsidRDefault="00F9133A" w:rsidP="00F9133A">
      <w:pPr>
        <w:pStyle w:val="text-justify"/>
        <w:shd w:val="clear" w:color="auto" w:fill="FFFFFF"/>
        <w:spacing w:before="0" w:beforeAutospacing="0" w:line="345" w:lineRule="atLeast"/>
        <w:jc w:val="both"/>
        <w:rPr>
          <w:rFonts w:ascii="Roboto" w:hAnsi="Roboto"/>
          <w:color w:val="3B3B3B"/>
          <w:sz w:val="22"/>
          <w:szCs w:val="22"/>
          <w:shd w:val="clear" w:color="auto" w:fill="FFFFFF"/>
        </w:rPr>
      </w:pPr>
      <w:r>
        <w:rPr>
          <w:rFonts w:ascii="Roboto" w:hAnsi="Roboto"/>
          <w:color w:val="3B3B3B"/>
          <w:sz w:val="22"/>
          <w:szCs w:val="22"/>
        </w:rPr>
        <w:t xml:space="preserve">The Fixed Income Money Market and Derivatives Association of India (FIMMDA), an association of Scheduled Commercial Banks, Public Financial Institutions, Primary </w:t>
      </w:r>
      <w:proofErr w:type="gramStart"/>
      <w:r>
        <w:rPr>
          <w:rFonts w:ascii="Roboto" w:hAnsi="Roboto"/>
          <w:color w:val="3B3B3B"/>
          <w:sz w:val="22"/>
          <w:szCs w:val="22"/>
        </w:rPr>
        <w:t>Dealers</w:t>
      </w:r>
      <w:proofErr w:type="gramEnd"/>
      <w:r>
        <w:rPr>
          <w:rFonts w:ascii="Roboto" w:hAnsi="Roboto"/>
          <w:color w:val="3B3B3B"/>
          <w:sz w:val="22"/>
          <w:szCs w:val="22"/>
        </w:rPr>
        <w:t xml:space="preserve"> and Insurance Companies was incorporated as a Company under Section 25 of the Companies Act, 1956 on May 4, 1998. FIMMDA is a voluntary market body for the Fixed Income, </w:t>
      </w:r>
      <w:proofErr w:type="gramStart"/>
      <w:r>
        <w:rPr>
          <w:rFonts w:ascii="Roboto" w:hAnsi="Roboto"/>
          <w:color w:val="3B3B3B"/>
          <w:sz w:val="22"/>
          <w:szCs w:val="22"/>
        </w:rPr>
        <w:t>Money</w:t>
      </w:r>
      <w:proofErr w:type="gramEnd"/>
      <w:r>
        <w:rPr>
          <w:rFonts w:ascii="Roboto" w:hAnsi="Roboto"/>
          <w:color w:val="3B3B3B"/>
          <w:sz w:val="22"/>
          <w:szCs w:val="22"/>
        </w:rPr>
        <w:t xml:space="preserve"> and Derivatives Markets. FIMMDA has </w:t>
      </w:r>
      <w:r w:rsidR="00C935D6">
        <w:rPr>
          <w:rFonts w:ascii="Roboto" w:hAnsi="Roboto"/>
          <w:color w:val="3B3B3B"/>
          <w:sz w:val="22"/>
          <w:szCs w:val="22"/>
        </w:rPr>
        <w:t xml:space="preserve">113 </w:t>
      </w:r>
      <w:r>
        <w:rPr>
          <w:rFonts w:ascii="Roboto" w:hAnsi="Roboto"/>
          <w:color w:val="3B3B3B"/>
          <w:sz w:val="22"/>
          <w:szCs w:val="22"/>
        </w:rPr>
        <w:t xml:space="preserve">members representing all major institutional segments of the market. </w:t>
      </w:r>
      <w:r>
        <w:rPr>
          <w:rFonts w:ascii="Roboto" w:hAnsi="Roboto"/>
          <w:color w:val="3B3B3B"/>
          <w:sz w:val="22"/>
          <w:szCs w:val="22"/>
          <w:shd w:val="clear" w:color="auto" w:fill="FFFFFF"/>
        </w:rPr>
        <w:t>The membership includes Banks such as State Bank of India and other nationalized banks; Private sector banks such as ICICI Bank, HDFC Bank, Axis Bank; Foreign Banks such as Bank of America, Citibank, All India Financial institutions such as EXIM Bank, NABARD, Insurance Companies like Life Insurance Corporation of India (LIC), ICICI Prudential Life Insurance Company and Primary Dealers such as SBI DFHI, I-Sec PD.</w:t>
      </w:r>
      <w:r w:rsidR="00C935D6">
        <w:rPr>
          <w:rFonts w:ascii="Roboto" w:hAnsi="Roboto"/>
          <w:color w:val="3B3B3B"/>
          <w:sz w:val="22"/>
          <w:szCs w:val="22"/>
          <w:shd w:val="clear" w:color="auto" w:fill="FFFFFF"/>
        </w:rPr>
        <w:t xml:space="preserve"> </w:t>
      </w:r>
    </w:p>
    <w:p w14:paraId="70A34526" w14:textId="23ECBA97" w:rsidR="00F9133A" w:rsidRDefault="00C935D6" w:rsidP="00F9133A">
      <w:pPr>
        <w:pStyle w:val="text-justify"/>
        <w:shd w:val="clear" w:color="auto" w:fill="FFFFFF"/>
        <w:spacing w:before="0" w:beforeAutospacing="0" w:line="345" w:lineRule="atLeast"/>
        <w:jc w:val="both"/>
        <w:rPr>
          <w:rFonts w:ascii="Roboto" w:hAnsi="Roboto"/>
          <w:color w:val="3B3B3B"/>
          <w:sz w:val="22"/>
          <w:szCs w:val="22"/>
          <w:shd w:val="clear" w:color="auto" w:fill="FFFFFF"/>
        </w:rPr>
      </w:pPr>
      <w:r>
        <w:rPr>
          <w:rFonts w:ascii="Roboto" w:hAnsi="Roboto"/>
          <w:color w:val="3B3B3B"/>
          <w:sz w:val="22"/>
          <w:szCs w:val="22"/>
          <w:shd w:val="clear" w:color="auto" w:fill="FFFFFF"/>
        </w:rPr>
        <w:t xml:space="preserve">FIMMDA have been holding Annual Conferences every year, which provide an opportunity for market professionals from the Indian Fixed Income and Derivatives markets to discuss and interact with each other, the distinguished speakers and </w:t>
      </w:r>
      <w:proofErr w:type="spellStart"/>
      <w:r>
        <w:rPr>
          <w:rFonts w:ascii="Roboto" w:hAnsi="Roboto"/>
          <w:color w:val="3B3B3B"/>
          <w:sz w:val="22"/>
          <w:szCs w:val="22"/>
          <w:shd w:val="clear" w:color="auto" w:fill="FFFFFF"/>
        </w:rPr>
        <w:t>panelists</w:t>
      </w:r>
      <w:proofErr w:type="spellEnd"/>
      <w:r>
        <w:rPr>
          <w:rFonts w:ascii="Roboto" w:hAnsi="Roboto"/>
          <w:color w:val="3B3B3B"/>
          <w:sz w:val="22"/>
          <w:szCs w:val="22"/>
          <w:shd w:val="clear" w:color="auto" w:fill="FFFFFF"/>
        </w:rPr>
        <w:t xml:space="preserve"> and bring the global best practices to the Indian market.</w:t>
      </w:r>
    </w:p>
    <w:p w14:paraId="7D443FDE" w14:textId="1E55B0BF" w:rsidR="001C4C98" w:rsidRDefault="001C4C98" w:rsidP="00F9133A">
      <w:pPr>
        <w:pStyle w:val="text-justify"/>
        <w:shd w:val="clear" w:color="auto" w:fill="FFFFFF"/>
        <w:spacing w:before="0" w:beforeAutospacing="0" w:line="345" w:lineRule="atLeast"/>
        <w:jc w:val="both"/>
        <w:rPr>
          <w:rFonts w:ascii="Roboto" w:hAnsi="Roboto"/>
          <w:color w:val="3B3B3B"/>
          <w:sz w:val="22"/>
          <w:szCs w:val="22"/>
          <w:shd w:val="clear" w:color="auto" w:fill="FFFFFF"/>
        </w:rPr>
      </w:pPr>
      <w:r>
        <w:rPr>
          <w:rFonts w:ascii="Roboto" w:hAnsi="Roboto"/>
          <w:color w:val="3B3B3B"/>
          <w:sz w:val="22"/>
          <w:szCs w:val="22"/>
          <w:shd w:val="clear" w:color="auto" w:fill="FFFFFF"/>
        </w:rPr>
        <w:t>Role of FIMMDA:</w:t>
      </w:r>
    </w:p>
    <w:p w14:paraId="7EB4B471"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Functions as the principal interface with Regulators (like Reserve Bank of India, Securities Exchange Board of India, Ministry of Finance - Government of India, International Monetary Fund, World Bank)</w:t>
      </w:r>
    </w:p>
    <w:p w14:paraId="757B50A1"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Mandated by the Reserve Bank of India for valuation of Government Bonds, Corporate Bonds and Securitized Papers for valuation of investment portfolios of Banks and Primary Dealers</w:t>
      </w:r>
    </w:p>
    <w:p w14:paraId="16D11AD0"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Undertakes developmental activities such as introduction of benchmarks and new products (e.g. Mumbai Inter-bank Offered Rate, Commercial Papers, Securitized Asset, Overnight Indexed Swaps)</w:t>
      </w:r>
    </w:p>
    <w:p w14:paraId="6EFE6DCF"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Suggests Legal and Regulatory framework for the development of new products</w:t>
      </w:r>
    </w:p>
    <w:p w14:paraId="31C78CA5"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Training and Development Support to the Debt &amp; Derivatives Market</w:t>
      </w:r>
    </w:p>
    <w:p w14:paraId="4F6B65E4" w14:textId="77777777" w:rsidR="001C4C98" w:rsidRPr="001C4C98" w:rsidRDefault="001C4C98" w:rsidP="001C4C98">
      <w:pPr>
        <w:numPr>
          <w:ilvl w:val="0"/>
          <w:numId w:val="32"/>
        </w:numPr>
        <w:pBdr>
          <w:top w:val="single" w:sz="6" w:space="0" w:color="DEE2E6"/>
          <w:left w:val="single" w:sz="6" w:space="0" w:color="DEE2E6"/>
          <w:bottom w:val="single" w:sz="6" w:space="0" w:color="DEE2E6"/>
          <w:right w:val="single" w:sz="6" w:space="0" w:color="DEE2E6"/>
        </w:pBdr>
        <w:shd w:val="clear" w:color="auto" w:fill="F8F9FA"/>
        <w:spacing w:after="0" w:line="450" w:lineRule="atLeast"/>
        <w:ind w:left="1020"/>
        <w:jc w:val="both"/>
        <w:rPr>
          <w:rFonts w:ascii="Times New Roman" w:eastAsia="Times New Roman" w:hAnsi="Times New Roman" w:cs="Times New Roman"/>
          <w:kern w:val="0"/>
          <w:sz w:val="24"/>
          <w:szCs w:val="24"/>
          <w:lang w:eastAsia="en-IN"/>
          <w14:ligatures w14:val="none"/>
        </w:rPr>
      </w:pPr>
      <w:r w:rsidRPr="001C4C98">
        <w:rPr>
          <w:rFonts w:ascii="Times New Roman" w:eastAsia="Times New Roman" w:hAnsi="Times New Roman" w:cs="Times New Roman"/>
          <w:kern w:val="0"/>
          <w:sz w:val="24"/>
          <w:szCs w:val="24"/>
          <w:lang w:eastAsia="en-IN"/>
          <w14:ligatures w14:val="none"/>
        </w:rPr>
        <w:t>Standardisation of market practices</w:t>
      </w:r>
    </w:p>
    <w:p w14:paraId="3ECC8903" w14:textId="77777777" w:rsidR="001C4C98" w:rsidRDefault="001C4C98" w:rsidP="00F9133A">
      <w:pPr>
        <w:pStyle w:val="text-justify"/>
        <w:shd w:val="clear" w:color="auto" w:fill="FFFFFF"/>
        <w:spacing w:before="0" w:beforeAutospacing="0" w:line="345" w:lineRule="atLeast"/>
        <w:jc w:val="both"/>
        <w:rPr>
          <w:rFonts w:ascii="Roboto" w:hAnsi="Roboto"/>
          <w:color w:val="3B3B3B"/>
          <w:sz w:val="22"/>
          <w:szCs w:val="22"/>
          <w:shd w:val="clear" w:color="auto" w:fill="FFFFFF"/>
        </w:rPr>
      </w:pPr>
    </w:p>
    <w:p w14:paraId="3699E350" w14:textId="04EACD24" w:rsidR="00F9133A" w:rsidRDefault="001C4C98" w:rsidP="001A7EE9">
      <w:pPr>
        <w:pStyle w:val="text-justify"/>
        <w:shd w:val="clear" w:color="auto" w:fill="FFFFFF"/>
        <w:spacing w:before="0" w:beforeAutospacing="0" w:line="345" w:lineRule="atLeast"/>
        <w:jc w:val="both"/>
        <w:rPr>
          <w:rFonts w:ascii="Roboto" w:hAnsi="Roboto"/>
          <w:color w:val="3B3B3B"/>
          <w:sz w:val="22"/>
          <w:szCs w:val="22"/>
          <w:shd w:val="clear" w:color="auto" w:fill="FFFFFF"/>
        </w:rPr>
      </w:pPr>
      <w:r>
        <w:rPr>
          <w:rFonts w:ascii="Roboto" w:hAnsi="Roboto"/>
          <w:color w:val="3B3B3B"/>
          <w:sz w:val="22"/>
          <w:szCs w:val="22"/>
          <w:shd w:val="clear" w:color="auto" w:fill="FFFFFF"/>
        </w:rPr>
        <w:lastRenderedPageBreak/>
        <w:t xml:space="preserve">FIMMDA membership is open to scheduled commercial banks, financial institutions, primary </w:t>
      </w:r>
      <w:proofErr w:type="gramStart"/>
      <w:r>
        <w:rPr>
          <w:rFonts w:ascii="Roboto" w:hAnsi="Roboto"/>
          <w:color w:val="3B3B3B"/>
          <w:sz w:val="22"/>
          <w:szCs w:val="22"/>
          <w:shd w:val="clear" w:color="auto" w:fill="FFFFFF"/>
        </w:rPr>
        <w:t>dealers</w:t>
      </w:r>
      <w:proofErr w:type="gramEnd"/>
      <w:r>
        <w:rPr>
          <w:rFonts w:ascii="Roboto" w:hAnsi="Roboto"/>
          <w:color w:val="3B3B3B"/>
          <w:sz w:val="22"/>
          <w:szCs w:val="22"/>
          <w:shd w:val="clear" w:color="auto" w:fill="FFFFFF"/>
        </w:rPr>
        <w:t xml:space="preserve"> and insurance companies. The FIMMDA membership fee is Rs. 250,000 + taxes annually with a onetime registration fee of Rs. 250,000 + taxes. </w:t>
      </w:r>
    </w:p>
    <w:p w14:paraId="1CACEE4E" w14:textId="4F0AC222" w:rsidR="006B1EFF" w:rsidRDefault="006B1EFF" w:rsidP="001A7EE9">
      <w:pPr>
        <w:pStyle w:val="NormalWeb"/>
        <w:shd w:val="clear" w:color="auto" w:fill="FFFFFF"/>
        <w:spacing w:before="0" w:beforeAutospacing="0" w:line="345" w:lineRule="atLeast"/>
        <w:jc w:val="both"/>
        <w:rPr>
          <w:rFonts w:ascii="Roboto" w:hAnsi="Roboto"/>
          <w:color w:val="3B3B3B"/>
          <w:sz w:val="22"/>
          <w:szCs w:val="22"/>
        </w:rPr>
      </w:pPr>
      <w:r>
        <w:rPr>
          <w:rFonts w:ascii="Roboto" w:hAnsi="Roboto"/>
          <w:color w:val="3B3B3B"/>
          <w:sz w:val="22"/>
          <w:szCs w:val="22"/>
        </w:rPr>
        <w:t xml:space="preserve">FIMMDA has been conducting various training programs with an objective to provide a platform for enhancing the skills of Market participants to better equip themselves for dealing in various Financial Products. FIMMDA training programs aim at introducing the participants to various aspects of the Indian Treasury Markets with a focus on understanding the opportunities and risks involved in the Fixed Income /Money and Rupee Derivative Markets. They are specifically designed to meet the requirements of personnel working in or about to join front office, back office, mid office, compliance, </w:t>
      </w:r>
      <w:proofErr w:type="gramStart"/>
      <w:r>
        <w:rPr>
          <w:rFonts w:ascii="Roboto" w:hAnsi="Roboto"/>
          <w:color w:val="3B3B3B"/>
          <w:sz w:val="22"/>
          <w:szCs w:val="22"/>
        </w:rPr>
        <w:t>risk</w:t>
      </w:r>
      <w:proofErr w:type="gramEnd"/>
      <w:r>
        <w:rPr>
          <w:rFonts w:ascii="Roboto" w:hAnsi="Roboto"/>
          <w:color w:val="3B3B3B"/>
          <w:sz w:val="22"/>
          <w:szCs w:val="22"/>
        </w:rPr>
        <w:t xml:space="preserve"> and policy sections of treasury vertical in banks, financial institutions, primary dealers &amp; insurance companies.</w:t>
      </w:r>
    </w:p>
    <w:p w14:paraId="6896271C" w14:textId="3177D2CF" w:rsidR="006B1EFF" w:rsidRDefault="006B1EFF" w:rsidP="001A7EE9">
      <w:pPr>
        <w:pStyle w:val="text-justify"/>
        <w:shd w:val="clear" w:color="auto" w:fill="FFFFFF"/>
        <w:spacing w:before="0" w:beforeAutospacing="0" w:line="345" w:lineRule="atLeast"/>
        <w:jc w:val="both"/>
        <w:rPr>
          <w:rFonts w:ascii="Roboto" w:hAnsi="Roboto"/>
          <w:color w:val="3B3B3B"/>
          <w:sz w:val="22"/>
          <w:szCs w:val="22"/>
        </w:rPr>
      </w:pPr>
      <w:r>
        <w:rPr>
          <w:rFonts w:ascii="Roboto" w:hAnsi="Roboto"/>
          <w:color w:val="3B3B3B"/>
          <w:sz w:val="22"/>
          <w:szCs w:val="22"/>
        </w:rPr>
        <w:t>FIMMDA provides valuation methodology for valuation of G Secs and MIBOR rates which are used as benchmarks of fixed income instruments. It also publishes handbook of market practices, latest being the April 2016 version.</w:t>
      </w:r>
    </w:p>
    <w:p w14:paraId="78E2AE8B" w14:textId="3FA523BA" w:rsidR="006B1EFF" w:rsidRDefault="006B1EFF" w:rsidP="001A7EE9">
      <w:pPr>
        <w:pStyle w:val="text-justify"/>
        <w:shd w:val="clear" w:color="auto" w:fill="FFFFFF"/>
        <w:spacing w:before="0" w:beforeAutospacing="0" w:line="345" w:lineRule="atLeast"/>
        <w:jc w:val="both"/>
        <w:rPr>
          <w:rFonts w:ascii="Roboto" w:hAnsi="Roboto"/>
          <w:color w:val="3B3B3B"/>
          <w:sz w:val="22"/>
          <w:szCs w:val="22"/>
        </w:rPr>
      </w:pPr>
      <w:r>
        <w:rPr>
          <w:rFonts w:ascii="Roboto" w:hAnsi="Roboto"/>
          <w:color w:val="3B3B3B"/>
          <w:sz w:val="22"/>
          <w:szCs w:val="22"/>
        </w:rPr>
        <w:t xml:space="preserve">All OTC contracts which occur outside the exchange should be reported to FIMMDA within 15 days. </w:t>
      </w:r>
    </w:p>
    <w:p w14:paraId="1E5DC3AE" w14:textId="5409D5C9" w:rsidR="009B6736" w:rsidRDefault="001A7EE9" w:rsidP="00F9133A">
      <w:pPr>
        <w:spacing w:before="24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Credit Rating Agencies in India </w:t>
      </w:r>
    </w:p>
    <w:p w14:paraId="0311C46B" w14:textId="6532A30D" w:rsidR="009B6736" w:rsidRPr="00A771E5" w:rsidRDefault="001A7EE9" w:rsidP="00A771E5">
      <w:pPr>
        <w:spacing w:before="240"/>
        <w:jc w:val="both"/>
        <w:rPr>
          <w:rFonts w:ascii="Arial" w:hAnsi="Arial" w:cs="Arial"/>
          <w:color w:val="052F5F"/>
          <w:sz w:val="24"/>
          <w:szCs w:val="24"/>
          <w:shd w:val="clear" w:color="auto" w:fill="FFFFFF"/>
        </w:rPr>
      </w:pPr>
      <w:r w:rsidRPr="00A771E5">
        <w:rPr>
          <w:rFonts w:ascii="Arial" w:hAnsi="Arial" w:cs="Arial"/>
          <w:color w:val="052F5F"/>
          <w:sz w:val="24"/>
          <w:szCs w:val="24"/>
          <w:shd w:val="clear" w:color="auto" w:fill="FFFFFF"/>
        </w:rPr>
        <w:t xml:space="preserve">Credit Rating Agencies (CRAs) assess, </w:t>
      </w:r>
      <w:proofErr w:type="gramStart"/>
      <w:r w:rsidRPr="00A771E5">
        <w:rPr>
          <w:rFonts w:ascii="Arial" w:hAnsi="Arial" w:cs="Arial"/>
          <w:color w:val="052F5F"/>
          <w:sz w:val="24"/>
          <w:szCs w:val="24"/>
          <w:shd w:val="clear" w:color="auto" w:fill="FFFFFF"/>
        </w:rPr>
        <w:t>calculate</w:t>
      </w:r>
      <w:proofErr w:type="gramEnd"/>
      <w:r w:rsidRPr="00A771E5">
        <w:rPr>
          <w:rFonts w:ascii="Arial" w:hAnsi="Arial" w:cs="Arial"/>
          <w:color w:val="052F5F"/>
          <w:sz w:val="24"/>
          <w:szCs w:val="24"/>
          <w:shd w:val="clear" w:color="auto" w:fill="FFFFFF"/>
        </w:rPr>
        <w:t xml:space="preserve"> and assign the credit ratings to the companies, organizations and enterprises. It performs a detailed analysis of the financial instruments of various entities. CRAs help lenders and investors determine the potential risk involved in lending money to a particular borrowing entity. It depicts the risk involved with investing in debt instruments. The rating scales used by the Credit Rating Agencies are scaled from ‘AAA’ to ‘D</w:t>
      </w:r>
      <w:proofErr w:type="gramStart"/>
      <w:r w:rsidRPr="00A771E5">
        <w:rPr>
          <w:rFonts w:ascii="Arial" w:hAnsi="Arial" w:cs="Arial"/>
          <w:color w:val="052F5F"/>
          <w:sz w:val="24"/>
          <w:szCs w:val="24"/>
          <w:shd w:val="clear" w:color="auto" w:fill="FFFFFF"/>
        </w:rPr>
        <w:t>’,</w:t>
      </w:r>
      <w:proofErr w:type="gramEnd"/>
      <w:r w:rsidRPr="00A771E5">
        <w:rPr>
          <w:rFonts w:ascii="Arial" w:hAnsi="Arial" w:cs="Arial"/>
          <w:color w:val="052F5F"/>
          <w:sz w:val="24"/>
          <w:szCs w:val="24"/>
          <w:shd w:val="clear" w:color="auto" w:fill="FFFFFF"/>
        </w:rPr>
        <w:t xml:space="preserve"> wherein ‘AAA’ stands for the highest rating and ‘D’ as the lowest or Bad Credit Rating.</w:t>
      </w:r>
    </w:p>
    <w:p w14:paraId="086464B3" w14:textId="2C48451B" w:rsidR="009B6736" w:rsidRPr="00A771E5" w:rsidRDefault="00A771E5" w:rsidP="00A771E5">
      <w:pPr>
        <w:spacing w:before="240"/>
        <w:jc w:val="both"/>
        <w:rPr>
          <w:rFonts w:ascii="Arial" w:hAnsi="Arial" w:cs="Arial"/>
          <w:color w:val="052F5F"/>
          <w:sz w:val="24"/>
          <w:szCs w:val="24"/>
          <w:shd w:val="clear" w:color="auto" w:fill="FFFFFF"/>
        </w:rPr>
      </w:pPr>
      <w:r w:rsidRPr="00A771E5">
        <w:rPr>
          <w:rFonts w:ascii="Arial" w:hAnsi="Arial" w:cs="Arial"/>
          <w:color w:val="052F5F"/>
          <w:sz w:val="24"/>
          <w:szCs w:val="24"/>
          <w:shd w:val="clear" w:color="auto" w:fill="FFFFFF"/>
        </w:rPr>
        <w:t xml:space="preserve">Following are most important credit rating agencies in </w:t>
      </w:r>
      <w:proofErr w:type="gramStart"/>
      <w:r w:rsidRPr="00A771E5">
        <w:rPr>
          <w:rFonts w:ascii="Arial" w:hAnsi="Arial" w:cs="Arial"/>
          <w:color w:val="052F5F"/>
          <w:sz w:val="24"/>
          <w:szCs w:val="24"/>
          <w:shd w:val="clear" w:color="auto" w:fill="FFFFFF"/>
        </w:rPr>
        <w:t>India :</w:t>
      </w:r>
      <w:proofErr w:type="gramEnd"/>
    </w:p>
    <w:p w14:paraId="07311529"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t>1. Credit Rating Information Services of India Ltd. (CRISIL)</w:t>
      </w:r>
    </w:p>
    <w:p w14:paraId="01058909" w14:textId="77777777" w:rsidR="00A771E5" w:rsidRPr="00A771E5" w:rsidRDefault="00A771E5" w:rsidP="00A771E5">
      <w:pPr>
        <w:pStyle w:val="NormalWeb"/>
        <w:shd w:val="clear" w:color="auto" w:fill="FFFFFF"/>
        <w:spacing w:line="330" w:lineRule="atLeast"/>
        <w:jc w:val="both"/>
        <w:rPr>
          <w:rFonts w:ascii="Arial" w:hAnsi="Arial" w:cs="Arial"/>
          <w:color w:val="052F5F"/>
        </w:rPr>
      </w:pPr>
      <w:r w:rsidRPr="00A771E5">
        <w:rPr>
          <w:rFonts w:ascii="Arial" w:hAnsi="Arial" w:cs="Arial"/>
          <w:color w:val="052F5F"/>
        </w:rPr>
        <w:t xml:space="preserve">Incorporated in 1987, CRISIL Ratings Limited (A subsidiary of CRISIL Limited, an S&amp;P Global company) is a full-service credit rating agency that serves investors, lenders, issuers, and market intermediaries and regulators by covering banks, NBFCs, PSUs, manufacturing companies, financial institutions, state governments, urban local bodies, etc. Credit Rating Information Services of India Limited (CRISIL) evaluates the creditworthiness of commercial entities based on their strengths, market reputation and market share. The credit rating agency helps investors make informed investment decisions by providing credit ratings for companies, </w:t>
      </w:r>
      <w:proofErr w:type="gramStart"/>
      <w:r w:rsidRPr="00A771E5">
        <w:rPr>
          <w:rFonts w:ascii="Arial" w:hAnsi="Arial" w:cs="Arial"/>
          <w:color w:val="052F5F"/>
        </w:rPr>
        <w:t>organisations</w:t>
      </w:r>
      <w:proofErr w:type="gramEnd"/>
      <w:r w:rsidRPr="00A771E5">
        <w:rPr>
          <w:rFonts w:ascii="Arial" w:hAnsi="Arial" w:cs="Arial"/>
          <w:color w:val="052F5F"/>
        </w:rPr>
        <w:t xml:space="preserve"> and banks. CRISIL generates and provides various rating services, such as Independent Credit Evaluation, Corporate and Financial Sector ratings, Fund Ratings, Recovery Risk </w:t>
      </w:r>
      <w:r w:rsidRPr="00A771E5">
        <w:rPr>
          <w:rFonts w:ascii="Arial" w:hAnsi="Arial" w:cs="Arial"/>
          <w:color w:val="052F5F"/>
        </w:rPr>
        <w:lastRenderedPageBreak/>
        <w:t>Ratings, Expected Loss (EL) Ratings, etc. It also offers services related to Structured Finance and Insurance Hybrids. The rating generated by the agency ranges from AAA to D, wherein AAA is the highest or creditworthy and D is the lowest or even defaulted.</w:t>
      </w:r>
    </w:p>
    <w:p w14:paraId="2C3EDB47"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t>2. Investment Information and Credit Rating Agency of India (ICRA) Ltd.</w:t>
      </w:r>
    </w:p>
    <w:p w14:paraId="026F1028" w14:textId="77777777" w:rsidR="00A771E5" w:rsidRPr="00A771E5" w:rsidRDefault="00A771E5" w:rsidP="00A771E5">
      <w:pPr>
        <w:pStyle w:val="NormalWeb"/>
        <w:shd w:val="clear" w:color="auto" w:fill="FFFFFF"/>
        <w:spacing w:line="330" w:lineRule="atLeast"/>
        <w:jc w:val="both"/>
        <w:rPr>
          <w:rFonts w:ascii="Arial" w:hAnsi="Arial" w:cs="Arial"/>
          <w:color w:val="052F5F"/>
        </w:rPr>
      </w:pPr>
      <w:r w:rsidRPr="00A771E5">
        <w:rPr>
          <w:rFonts w:ascii="Arial" w:hAnsi="Arial" w:cs="Arial"/>
          <w:color w:val="052F5F"/>
        </w:rPr>
        <w:t>ICRA Limited (formerly Investment Information and Credit Rating Agency of India Limited) is an independent and professional investment Information and Credit Rating Agency. Formed in 1991, ICRA offers guidance and information to institutional and individual investors and creditors. It rates rupee-dominated debt instruments issued by commercial banks, NBFCs, PSUs, manufacturing companies and municipalities. The agency uses a transparent rating system to assign comprehensive credit ratings to corporates. It specialises in assigning corporate governance ratings, mutual funds ratings, structured finance ratings, performance ratings, etc.</w:t>
      </w:r>
    </w:p>
    <w:p w14:paraId="4E0380D8"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t>3. Credit Analysis and Research (CARE) Ltd.</w:t>
      </w:r>
    </w:p>
    <w:p w14:paraId="7772BF33" w14:textId="77777777" w:rsidR="00A771E5" w:rsidRPr="00A771E5" w:rsidRDefault="00A771E5" w:rsidP="00A771E5">
      <w:pPr>
        <w:pStyle w:val="NormalWeb"/>
        <w:shd w:val="clear" w:color="auto" w:fill="FFFFFF"/>
        <w:spacing w:line="330" w:lineRule="atLeast"/>
        <w:jc w:val="both"/>
        <w:rPr>
          <w:rFonts w:ascii="Arial" w:hAnsi="Arial" w:cs="Arial"/>
          <w:color w:val="052F5F"/>
        </w:rPr>
      </w:pPr>
      <w:r w:rsidRPr="00A771E5">
        <w:rPr>
          <w:rFonts w:ascii="Arial" w:hAnsi="Arial" w:cs="Arial"/>
          <w:color w:val="052F5F"/>
        </w:rPr>
        <w:t xml:space="preserve">Established in 1993, Credit Analysis and Research Limited (CARE) is an experienced credit rating agency that covers various market sectors, including infrastructure, manufacturing, and financial sectors, including banks and non-financial services. The agency provides ratings to companies related to developing bank debt and capital market instruments that include CPs, corporate bonds and debentures, and structured credit. Its credit ratings can be used by investors to make informed decisions based on credit risk and risk-return expectations. </w:t>
      </w:r>
      <w:proofErr w:type="spellStart"/>
      <w:r w:rsidRPr="00A771E5">
        <w:rPr>
          <w:rFonts w:ascii="Arial" w:hAnsi="Arial" w:cs="Arial"/>
          <w:color w:val="052F5F"/>
        </w:rPr>
        <w:t>CareEdge</w:t>
      </w:r>
      <w:proofErr w:type="spellEnd"/>
      <w:r w:rsidRPr="00A771E5">
        <w:rPr>
          <w:rFonts w:ascii="Arial" w:hAnsi="Arial" w:cs="Arial"/>
          <w:color w:val="052F5F"/>
        </w:rPr>
        <w:t xml:space="preserve"> Ratings’ (CARE Ratings Ltd.) manages and operates its wholly owned subsidiaries, such as CARE Advisory, Research &amp; Training </w:t>
      </w:r>
      <w:proofErr w:type="gramStart"/>
      <w:r w:rsidRPr="00A771E5">
        <w:rPr>
          <w:rFonts w:ascii="Arial" w:hAnsi="Arial" w:cs="Arial"/>
          <w:color w:val="052F5F"/>
        </w:rPr>
        <w:t>Ltd.</w:t>
      </w:r>
      <w:proofErr w:type="gramEnd"/>
      <w:r w:rsidRPr="00A771E5">
        <w:rPr>
          <w:rFonts w:ascii="Arial" w:hAnsi="Arial" w:cs="Arial"/>
          <w:color w:val="052F5F"/>
        </w:rPr>
        <w:t xml:space="preserve"> and CARE Risk Solutions Pvt Ltd.</w:t>
      </w:r>
    </w:p>
    <w:p w14:paraId="670E4F42"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t xml:space="preserve">4. </w:t>
      </w:r>
      <w:proofErr w:type="spellStart"/>
      <w:r w:rsidRPr="00A771E5">
        <w:rPr>
          <w:rStyle w:val="Strong"/>
          <w:rFonts w:ascii="Arial" w:hAnsi="Arial" w:cs="Arial"/>
          <w:b w:val="0"/>
          <w:bCs w:val="0"/>
          <w:color w:val="052F5F"/>
        </w:rPr>
        <w:t>Acuite</w:t>
      </w:r>
      <w:proofErr w:type="spellEnd"/>
      <w:r w:rsidRPr="00A771E5">
        <w:rPr>
          <w:rStyle w:val="Strong"/>
          <w:rFonts w:ascii="Arial" w:hAnsi="Arial" w:cs="Arial"/>
          <w:b w:val="0"/>
          <w:bCs w:val="0"/>
          <w:color w:val="052F5F"/>
        </w:rPr>
        <w:t xml:space="preserve"> Ratings &amp; Research Ltd.</w:t>
      </w:r>
    </w:p>
    <w:p w14:paraId="2B038C81" w14:textId="77777777" w:rsidR="00A771E5" w:rsidRPr="00A771E5" w:rsidRDefault="00A771E5" w:rsidP="00A771E5">
      <w:pPr>
        <w:pStyle w:val="NormalWeb"/>
        <w:shd w:val="clear" w:color="auto" w:fill="FFFFFF"/>
        <w:spacing w:line="330" w:lineRule="atLeast"/>
        <w:jc w:val="both"/>
        <w:rPr>
          <w:rFonts w:ascii="Arial" w:hAnsi="Arial" w:cs="Arial"/>
          <w:color w:val="052F5F"/>
        </w:rPr>
      </w:pPr>
      <w:proofErr w:type="spellStart"/>
      <w:r w:rsidRPr="00A771E5">
        <w:rPr>
          <w:rFonts w:ascii="Arial" w:hAnsi="Arial" w:cs="Arial"/>
          <w:color w:val="052F5F"/>
        </w:rPr>
        <w:t>Acuité</w:t>
      </w:r>
      <w:proofErr w:type="spellEnd"/>
      <w:r w:rsidRPr="00A771E5">
        <w:rPr>
          <w:rFonts w:ascii="Arial" w:hAnsi="Arial" w:cs="Arial"/>
          <w:color w:val="052F5F"/>
        </w:rPr>
        <w:t xml:space="preserve"> Ratings &amp; Research Limited (Formerly known as SMERA Ratings Limited) is a SEBI-registered and RBI-accredited credit rating agency that offers ratings to companies serving structured finance, corporate and financial sectors. Its earlier range of products and services portfolio included Bank Loan Ratings, SME Ratings, Bond Ratings, CP Ratings, etc. Currently, the agency’s primary services include Bond &amp; Bank Loan Ratings, Economic Analysis and Financial Research Services. Largely, </w:t>
      </w:r>
      <w:proofErr w:type="spellStart"/>
      <w:r w:rsidRPr="00A771E5">
        <w:rPr>
          <w:rFonts w:ascii="Arial" w:hAnsi="Arial" w:cs="Arial"/>
          <w:color w:val="052F5F"/>
        </w:rPr>
        <w:t>Acuité</w:t>
      </w:r>
      <w:proofErr w:type="spellEnd"/>
      <w:r w:rsidRPr="00A771E5">
        <w:rPr>
          <w:rFonts w:ascii="Arial" w:hAnsi="Arial" w:cs="Arial"/>
          <w:color w:val="052F5F"/>
        </w:rPr>
        <w:t xml:space="preserve"> offers services to largely small-sized private corporates, and public sector organizations like Nuclear Power Corporation, and renowned companies in the financial sector. The agency offers credit rating services to companies serving various sectors, such as banking, telecom, IT &amp; </w:t>
      </w:r>
      <w:proofErr w:type="spellStart"/>
      <w:r w:rsidRPr="00A771E5">
        <w:rPr>
          <w:rFonts w:ascii="Arial" w:hAnsi="Arial" w:cs="Arial"/>
          <w:color w:val="052F5F"/>
        </w:rPr>
        <w:t>ITes</w:t>
      </w:r>
      <w:proofErr w:type="spellEnd"/>
      <w:r w:rsidRPr="00A771E5">
        <w:rPr>
          <w:rFonts w:ascii="Arial" w:hAnsi="Arial" w:cs="Arial"/>
          <w:color w:val="052F5F"/>
        </w:rPr>
        <w:t>, steel, aviation, oil and gas, retail, etc.</w:t>
      </w:r>
    </w:p>
    <w:p w14:paraId="14757F81"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lastRenderedPageBreak/>
        <w:t>5. Brickwork Ratings India Private Ltd.</w:t>
      </w:r>
    </w:p>
    <w:p w14:paraId="7AA93CB8" w14:textId="77777777" w:rsidR="00A771E5" w:rsidRPr="00A771E5" w:rsidRDefault="00A771E5" w:rsidP="00A771E5">
      <w:pPr>
        <w:pStyle w:val="NormalWeb"/>
        <w:shd w:val="clear" w:color="auto" w:fill="FFFFFF"/>
        <w:spacing w:line="330" w:lineRule="atLeast"/>
        <w:jc w:val="both"/>
        <w:rPr>
          <w:rFonts w:ascii="Arial" w:hAnsi="Arial" w:cs="Arial"/>
          <w:color w:val="052F5F"/>
        </w:rPr>
      </w:pPr>
      <w:r w:rsidRPr="00A771E5">
        <w:rPr>
          <w:rFonts w:ascii="Arial" w:hAnsi="Arial" w:cs="Arial"/>
          <w:color w:val="052F5F"/>
        </w:rPr>
        <w:t>Brickwork Ratings (BWR) is a SEBI-registered and RBI accredited Credit Rating Agency that offers rating services on Bank Loans, Fixed Deposits, Non-convertible debentures (NCD), Commercial Paper, Securitised paper, Security receipts, etc. The agency offers credit ratings for banks, financial institutions, large corporate customers, and state and local governments. BWR offers a wide range of rating services and products related to Capital Market Instruments and Bank Loans for the Corporate, Financial, Infrastructure and Insurance Sectors, PSUs, State Government, Municipal and Urban Local Bodies, etc.</w:t>
      </w:r>
    </w:p>
    <w:p w14:paraId="16CE5131" w14:textId="77777777" w:rsidR="00A771E5" w:rsidRPr="00A771E5" w:rsidRDefault="00A771E5" w:rsidP="00A771E5">
      <w:pPr>
        <w:pStyle w:val="Heading3"/>
        <w:shd w:val="clear" w:color="auto" w:fill="FFFFFF"/>
        <w:jc w:val="both"/>
        <w:rPr>
          <w:rFonts w:ascii="Arial" w:hAnsi="Arial" w:cs="Arial"/>
          <w:color w:val="052F5F"/>
        </w:rPr>
      </w:pPr>
      <w:r w:rsidRPr="00A771E5">
        <w:rPr>
          <w:rStyle w:val="Strong"/>
          <w:rFonts w:ascii="Arial" w:hAnsi="Arial" w:cs="Arial"/>
          <w:b w:val="0"/>
          <w:bCs w:val="0"/>
          <w:color w:val="052F5F"/>
        </w:rPr>
        <w:t xml:space="preserve">6. India Ratings and Research </w:t>
      </w:r>
      <w:proofErr w:type="spellStart"/>
      <w:r w:rsidRPr="00A771E5">
        <w:rPr>
          <w:rStyle w:val="Strong"/>
          <w:rFonts w:ascii="Arial" w:hAnsi="Arial" w:cs="Arial"/>
          <w:b w:val="0"/>
          <w:bCs w:val="0"/>
          <w:color w:val="052F5F"/>
        </w:rPr>
        <w:t>Pvt.</w:t>
      </w:r>
      <w:proofErr w:type="spellEnd"/>
      <w:r w:rsidRPr="00A771E5">
        <w:rPr>
          <w:rStyle w:val="Strong"/>
          <w:rFonts w:ascii="Arial" w:hAnsi="Arial" w:cs="Arial"/>
          <w:b w:val="0"/>
          <w:bCs w:val="0"/>
          <w:color w:val="052F5F"/>
        </w:rPr>
        <w:t xml:space="preserve"> Ltd.</w:t>
      </w:r>
    </w:p>
    <w:p w14:paraId="040D8DDC" w14:textId="77777777" w:rsidR="00A771E5" w:rsidRPr="00A771E5" w:rsidRDefault="00A771E5" w:rsidP="00A771E5">
      <w:pPr>
        <w:pStyle w:val="NormalWeb"/>
        <w:shd w:val="clear" w:color="auto" w:fill="FFFFFF"/>
        <w:spacing w:line="330" w:lineRule="atLeast"/>
        <w:jc w:val="both"/>
        <w:rPr>
          <w:rFonts w:ascii="Arial" w:hAnsi="Arial" w:cs="Arial"/>
          <w:color w:val="052F5F"/>
        </w:rPr>
      </w:pPr>
      <w:r w:rsidRPr="00A771E5">
        <w:rPr>
          <w:rFonts w:ascii="Arial" w:hAnsi="Arial" w:cs="Arial"/>
          <w:color w:val="052F5F"/>
        </w:rPr>
        <w:t xml:space="preserve">India Ratings and Research (Ind-Ra), a wholly owned subsidiary of the Fitch Group is one of the leading credit rating agencies recognized by SEBI and accredited by RBI. Ind-Ra offers credit rating services to banks, insurance companies, corporate issuers, finance and leasing companies, urban local bodies and managed funds, structured </w:t>
      </w:r>
      <w:proofErr w:type="gramStart"/>
      <w:r w:rsidRPr="00A771E5">
        <w:rPr>
          <w:rFonts w:ascii="Arial" w:hAnsi="Arial" w:cs="Arial"/>
          <w:color w:val="052F5F"/>
        </w:rPr>
        <w:t>finance</w:t>
      </w:r>
      <w:proofErr w:type="gramEnd"/>
      <w:r w:rsidRPr="00A771E5">
        <w:rPr>
          <w:rFonts w:ascii="Arial" w:hAnsi="Arial" w:cs="Arial"/>
          <w:color w:val="052F5F"/>
        </w:rPr>
        <w:t xml:space="preserve"> and project finance companies. With its Head office in Mumbai, the agency operates from its seven branch offices across India, including Delhi, Chennai, Kolkata, Ahmedabad, Bengaluru, </w:t>
      </w:r>
      <w:proofErr w:type="gramStart"/>
      <w:r w:rsidRPr="00A771E5">
        <w:rPr>
          <w:rFonts w:ascii="Arial" w:hAnsi="Arial" w:cs="Arial"/>
          <w:color w:val="052F5F"/>
        </w:rPr>
        <w:t>Hyderabad</w:t>
      </w:r>
      <w:proofErr w:type="gramEnd"/>
      <w:r w:rsidRPr="00A771E5">
        <w:rPr>
          <w:rFonts w:ascii="Arial" w:hAnsi="Arial" w:cs="Arial"/>
          <w:color w:val="052F5F"/>
        </w:rPr>
        <w:t xml:space="preserve"> and Pune.</w:t>
      </w:r>
    </w:p>
    <w:p w14:paraId="2D42F48A" w14:textId="40ABACA0" w:rsidR="009B6736" w:rsidRDefault="00A771E5" w:rsidP="00A771E5">
      <w:pPr>
        <w:ind w:left="720" w:firstLine="720"/>
        <w:jc w:val="both"/>
        <w:rPr>
          <w:rFonts w:ascii="Arial" w:hAnsi="Arial" w:cs="Arial"/>
          <w:b/>
          <w:bCs/>
          <w:sz w:val="24"/>
          <w:szCs w:val="24"/>
        </w:rPr>
      </w:pPr>
      <w:r w:rsidRPr="00A771E5">
        <w:rPr>
          <w:rFonts w:ascii="Arial" w:hAnsi="Arial" w:cs="Arial"/>
          <w:b/>
          <w:bCs/>
          <w:sz w:val="24"/>
          <w:szCs w:val="24"/>
        </w:rPr>
        <w:t>Impact of credit assessment on Bond pricing</w:t>
      </w:r>
    </w:p>
    <w:p w14:paraId="4B9E0801" w14:textId="65F2606F" w:rsidR="00D50FCF" w:rsidRPr="003B6BF3" w:rsidRDefault="00637092" w:rsidP="00D50FCF">
      <w:pPr>
        <w:jc w:val="both"/>
        <w:rPr>
          <w:rFonts w:ascii="Arial" w:hAnsi="Arial" w:cs="Arial"/>
          <w:color w:val="111111"/>
          <w:spacing w:val="1"/>
          <w:sz w:val="24"/>
          <w:szCs w:val="24"/>
          <w:shd w:val="clear" w:color="auto" w:fill="FFFFFF"/>
        </w:rPr>
      </w:pPr>
      <w:r w:rsidRPr="003B6BF3">
        <w:rPr>
          <w:rFonts w:ascii="Arial" w:hAnsi="Arial" w:cs="Arial"/>
          <w:color w:val="111111"/>
          <w:spacing w:val="1"/>
          <w:sz w:val="24"/>
          <w:szCs w:val="24"/>
          <w:shd w:val="clear" w:color="auto" w:fill="FFFFFF"/>
        </w:rPr>
        <w:t xml:space="preserve">The higher default risk is the chief reason that speculative-grade bond issuers </w:t>
      </w:r>
      <w:proofErr w:type="gramStart"/>
      <w:r w:rsidRPr="003B6BF3">
        <w:rPr>
          <w:rFonts w:ascii="Arial" w:hAnsi="Arial" w:cs="Arial"/>
          <w:color w:val="111111"/>
          <w:spacing w:val="1"/>
          <w:sz w:val="24"/>
          <w:szCs w:val="24"/>
          <w:shd w:val="clear" w:color="auto" w:fill="FFFFFF"/>
        </w:rPr>
        <w:t>have to</w:t>
      </w:r>
      <w:proofErr w:type="gramEnd"/>
      <w:r w:rsidRPr="003B6BF3">
        <w:rPr>
          <w:rFonts w:ascii="Arial" w:hAnsi="Arial" w:cs="Arial"/>
          <w:color w:val="111111"/>
          <w:spacing w:val="1"/>
          <w:sz w:val="24"/>
          <w:szCs w:val="24"/>
          <w:shd w:val="clear" w:color="auto" w:fill="FFFFFF"/>
        </w:rPr>
        <w:t xml:space="preserve"> pay higher interest rates.  when a </w:t>
      </w:r>
      <w:hyperlink r:id="rId6" w:history="1">
        <w:r w:rsidRPr="003B6BF3">
          <w:rPr>
            <w:rStyle w:val="Hyperlink"/>
            <w:rFonts w:ascii="Arial" w:hAnsi="Arial" w:cs="Arial"/>
            <w:color w:val="auto"/>
            <w:spacing w:val="1"/>
            <w:sz w:val="24"/>
            <w:szCs w:val="24"/>
            <w:u w:val="none"/>
            <w:shd w:val="clear" w:color="auto" w:fill="FFFFFF"/>
          </w:rPr>
          <w:t>corporate bond</w:t>
        </w:r>
      </w:hyperlink>
      <w:r w:rsidRPr="003B6BF3">
        <w:rPr>
          <w:rFonts w:ascii="Arial" w:hAnsi="Arial" w:cs="Arial"/>
          <w:color w:val="111111"/>
          <w:spacing w:val="1"/>
          <w:sz w:val="24"/>
          <w:szCs w:val="24"/>
          <w:shd w:val="clear" w:color="auto" w:fill="FFFFFF"/>
        </w:rPr>
        <w:t xml:space="preserve"> has its credit rating lowered, its price will go down as well. The reality is, however, that </w:t>
      </w:r>
      <w:proofErr w:type="gramStart"/>
      <w:r w:rsidRPr="003B6BF3">
        <w:rPr>
          <w:rFonts w:ascii="Arial" w:hAnsi="Arial" w:cs="Arial"/>
          <w:color w:val="111111"/>
          <w:spacing w:val="1"/>
          <w:sz w:val="24"/>
          <w:szCs w:val="24"/>
          <w:shd w:val="clear" w:color="auto" w:fill="FFFFFF"/>
        </w:rPr>
        <w:t>it’s</w:t>
      </w:r>
      <w:proofErr w:type="gramEnd"/>
      <w:r w:rsidRPr="003B6BF3">
        <w:rPr>
          <w:rFonts w:ascii="Arial" w:hAnsi="Arial" w:cs="Arial"/>
          <w:color w:val="111111"/>
          <w:spacing w:val="1"/>
          <w:sz w:val="24"/>
          <w:szCs w:val="24"/>
          <w:shd w:val="clear" w:color="auto" w:fill="FFFFFF"/>
        </w:rPr>
        <w:t xml:space="preserve"> not the credit rating going down that directly lowers the price. Instead, </w:t>
      </w:r>
      <w:proofErr w:type="gramStart"/>
      <w:r w:rsidRPr="003B6BF3">
        <w:rPr>
          <w:rFonts w:ascii="Arial" w:hAnsi="Arial" w:cs="Arial"/>
          <w:color w:val="111111"/>
          <w:spacing w:val="1"/>
          <w:sz w:val="24"/>
          <w:szCs w:val="24"/>
          <w:shd w:val="clear" w:color="auto" w:fill="FFFFFF"/>
        </w:rPr>
        <w:t>it’s</w:t>
      </w:r>
      <w:proofErr w:type="gramEnd"/>
      <w:r w:rsidRPr="003B6BF3">
        <w:rPr>
          <w:rFonts w:ascii="Arial" w:hAnsi="Arial" w:cs="Arial"/>
          <w:color w:val="111111"/>
          <w:spacing w:val="1"/>
          <w:sz w:val="24"/>
          <w:szCs w:val="24"/>
          <w:shd w:val="clear" w:color="auto" w:fill="FFFFFF"/>
        </w:rPr>
        <w:t xml:space="preserve"> the perceived value of that bond in the minds of investors that is responsible for the price drop. </w:t>
      </w:r>
      <w:proofErr w:type="gramStart"/>
      <w:r w:rsidRPr="003B6BF3">
        <w:rPr>
          <w:rFonts w:ascii="Arial" w:hAnsi="Arial" w:cs="Arial"/>
          <w:color w:val="111111"/>
          <w:spacing w:val="1"/>
          <w:sz w:val="24"/>
          <w:szCs w:val="24"/>
          <w:shd w:val="clear" w:color="auto" w:fill="FFFFFF"/>
        </w:rPr>
        <w:t>So</w:t>
      </w:r>
      <w:proofErr w:type="gramEnd"/>
      <w:r w:rsidRPr="003B6BF3">
        <w:rPr>
          <w:rFonts w:ascii="Arial" w:hAnsi="Arial" w:cs="Arial"/>
          <w:color w:val="111111"/>
          <w:spacing w:val="1"/>
          <w:sz w:val="24"/>
          <w:szCs w:val="24"/>
          <w:shd w:val="clear" w:color="auto" w:fill="FFFFFF"/>
        </w:rPr>
        <w:t xml:space="preserve"> there is more to it than simply the credit rating as that is only one of the things investors take into account when determining the price of a corporate bond. This also means that the price of a bond can also go down before an interest rate drop. The price of a bond can also decline because of other investor concerns. Likewise, any raise in the interest rate of a bond may also lead to the bond’s price going up.</w:t>
      </w:r>
    </w:p>
    <w:p w14:paraId="6E8BA587" w14:textId="1F33ADF1" w:rsidR="00637092" w:rsidRPr="003B6BF3" w:rsidRDefault="00637092" w:rsidP="00D50FCF">
      <w:pPr>
        <w:jc w:val="both"/>
        <w:rPr>
          <w:rFonts w:ascii="Arial" w:hAnsi="Arial" w:cs="Arial"/>
          <w:color w:val="111111"/>
          <w:spacing w:val="1"/>
          <w:sz w:val="24"/>
          <w:szCs w:val="24"/>
          <w:shd w:val="clear" w:color="auto" w:fill="FFFFFF"/>
        </w:rPr>
      </w:pPr>
      <w:r w:rsidRPr="003B6BF3">
        <w:rPr>
          <w:rFonts w:ascii="Arial" w:hAnsi="Arial" w:cs="Arial"/>
          <w:color w:val="111111"/>
          <w:spacing w:val="1"/>
          <w:sz w:val="24"/>
          <w:szCs w:val="24"/>
          <w:shd w:val="clear" w:color="auto" w:fill="FFFFFF"/>
        </w:rPr>
        <w:t>What agencies rate is not a securities issuer’s credit standing, but instead the quality of their risk. This quality of risk is stipulated as the severity of possible losses which encompasses both the chance of default and what would be recovered if the default does occur.</w:t>
      </w:r>
    </w:p>
    <w:p w14:paraId="458B2EB0" w14:textId="387D8B51" w:rsidR="003B6BF3" w:rsidRPr="003B6BF3" w:rsidRDefault="00637092" w:rsidP="003B6BF3">
      <w:pPr>
        <w:jc w:val="both"/>
        <w:rPr>
          <w:rFonts w:ascii="Arial" w:hAnsi="Arial" w:cs="Arial"/>
          <w:color w:val="000000"/>
          <w:sz w:val="24"/>
          <w:szCs w:val="24"/>
          <w:shd w:val="clear" w:color="auto" w:fill="FFFFFF"/>
        </w:rPr>
      </w:pPr>
      <w:r w:rsidRPr="003B6BF3">
        <w:rPr>
          <w:rFonts w:ascii="Arial" w:hAnsi="Arial" w:cs="Arial"/>
          <w:color w:val="000000"/>
          <w:sz w:val="24"/>
          <w:szCs w:val="24"/>
          <w:shd w:val="clear" w:color="auto" w:fill="FFFFFF"/>
        </w:rPr>
        <w:t>Credit rating agencies study how likely the bond issuer will be able to pay back the money they owe, and rate the bonds accordingly. If a bond gets a high rating like ‘AAA</w:t>
      </w:r>
      <w:proofErr w:type="gramStart"/>
      <w:r w:rsidRPr="003B6BF3">
        <w:rPr>
          <w:rFonts w:ascii="Arial" w:hAnsi="Arial" w:cs="Arial"/>
          <w:color w:val="000000"/>
          <w:sz w:val="24"/>
          <w:szCs w:val="24"/>
          <w:shd w:val="clear" w:color="auto" w:fill="FFFFFF"/>
        </w:rPr>
        <w:t>’,</w:t>
      </w:r>
      <w:proofErr w:type="gramEnd"/>
      <w:r w:rsidRPr="003B6BF3">
        <w:rPr>
          <w:rFonts w:ascii="Arial" w:hAnsi="Arial" w:cs="Arial"/>
          <w:color w:val="000000"/>
          <w:sz w:val="24"/>
          <w:szCs w:val="24"/>
          <w:shd w:val="clear" w:color="auto" w:fill="FFFFFF"/>
        </w:rPr>
        <w:t xml:space="preserve"> the issuer is very good at managing their debts and has a very low chance of default. This makes these bonds very attractive to risk-averse investors. But, with safety comes fewer returns, so these bonds offer low coupon rates. </w:t>
      </w:r>
      <w:proofErr w:type="gramStart"/>
      <w:r w:rsidRPr="003B6BF3">
        <w:rPr>
          <w:rFonts w:ascii="Arial" w:hAnsi="Arial" w:cs="Arial"/>
          <w:color w:val="000000"/>
          <w:sz w:val="24"/>
          <w:szCs w:val="24"/>
          <w:shd w:val="clear" w:color="auto" w:fill="FFFFFF"/>
        </w:rPr>
        <w:t>But,</w:t>
      </w:r>
      <w:proofErr w:type="gramEnd"/>
      <w:r w:rsidRPr="003B6BF3">
        <w:rPr>
          <w:rFonts w:ascii="Arial" w:hAnsi="Arial" w:cs="Arial"/>
          <w:color w:val="000000"/>
          <w:sz w:val="24"/>
          <w:szCs w:val="24"/>
          <w:shd w:val="clear" w:color="auto" w:fill="FFFFFF"/>
        </w:rPr>
        <w:t xml:space="preserve"> investors are willing to accept lower earnings because they feel secure about getting their principal amount back.</w:t>
      </w:r>
      <w:r w:rsidRPr="003B6BF3">
        <w:rPr>
          <w:rFonts w:ascii="Arial" w:hAnsi="Arial" w:cs="Arial"/>
          <w:color w:val="000000"/>
          <w:sz w:val="24"/>
          <w:szCs w:val="24"/>
        </w:rPr>
        <w:br/>
      </w:r>
      <w:r w:rsidR="003B6BF3" w:rsidRPr="003B6BF3">
        <w:rPr>
          <w:rFonts w:ascii="Arial" w:hAnsi="Arial" w:cs="Arial"/>
          <w:color w:val="000000"/>
          <w:sz w:val="24"/>
          <w:szCs w:val="24"/>
          <w:shd w:val="clear" w:color="auto" w:fill="FFFFFF"/>
        </w:rPr>
        <w:lastRenderedPageBreak/>
        <w:t xml:space="preserve">On the other hand, if a bond gets a lower rating like ‘BB’, ‘B’, or ‘C’, it means the issuer might have a harder time paying back what they owe. Investors who invest in these bonds want to be compensated for taking on that extra risk. So, the bonds offer a higher coupon rate, which means investors can potentially earn more money, but they are also taking a higher risk that they might not get all their money back. </w:t>
      </w:r>
    </w:p>
    <w:p w14:paraId="0F9C3139" w14:textId="73F1A0DD" w:rsidR="00637092" w:rsidRPr="003B6BF3" w:rsidRDefault="003B6BF3" w:rsidP="003B6BF3">
      <w:pPr>
        <w:jc w:val="both"/>
        <w:rPr>
          <w:rFonts w:ascii="Arial" w:hAnsi="Arial" w:cs="Arial"/>
          <w:b/>
          <w:bCs/>
          <w:sz w:val="24"/>
          <w:szCs w:val="24"/>
        </w:rPr>
      </w:pPr>
      <w:r w:rsidRPr="003B6BF3">
        <w:rPr>
          <w:rFonts w:ascii="Arial" w:hAnsi="Arial" w:cs="Arial"/>
          <w:color w:val="000000"/>
          <w:sz w:val="24"/>
          <w:szCs w:val="24"/>
          <w:shd w:val="clear" w:color="auto" w:fill="FFFFFF"/>
        </w:rPr>
        <w:t xml:space="preserve">Yield in secondary markets: After companies issue bonds, these bonds are often traded on the secondary markets. This is where investors who </w:t>
      </w:r>
      <w:proofErr w:type="gramStart"/>
      <w:r w:rsidRPr="003B6BF3">
        <w:rPr>
          <w:rFonts w:ascii="Arial" w:hAnsi="Arial" w:cs="Arial"/>
          <w:color w:val="000000"/>
          <w:sz w:val="24"/>
          <w:szCs w:val="24"/>
          <w:shd w:val="clear" w:color="auto" w:fill="FFFFFF"/>
        </w:rPr>
        <w:t>didn’t</w:t>
      </w:r>
      <w:proofErr w:type="gramEnd"/>
      <w:r w:rsidRPr="003B6BF3">
        <w:rPr>
          <w:rFonts w:ascii="Arial" w:hAnsi="Arial" w:cs="Arial"/>
          <w:color w:val="000000"/>
          <w:sz w:val="24"/>
          <w:szCs w:val="24"/>
          <w:shd w:val="clear" w:color="auto" w:fill="FFFFFF"/>
        </w:rPr>
        <w:t xml:space="preserve"> get a chance to buy the bonds when they were first introduced get an opportunity to buy. Also, investor who want to sell their bonds before they mature can find buyers.</w:t>
      </w:r>
    </w:p>
    <w:p w14:paraId="7AFB1BC7" w14:textId="77BE186B" w:rsidR="009B6736" w:rsidRDefault="006F2011" w:rsidP="006F2011">
      <w:pPr>
        <w:ind w:left="2160" w:firstLine="720"/>
        <w:jc w:val="both"/>
        <w:rPr>
          <w:rFonts w:ascii="Arial" w:hAnsi="Arial" w:cs="Arial"/>
          <w:b/>
          <w:bCs/>
          <w:sz w:val="24"/>
          <w:szCs w:val="24"/>
          <w:lang w:val="en-US"/>
        </w:rPr>
      </w:pPr>
      <w:r>
        <w:rPr>
          <w:rFonts w:ascii="Arial" w:hAnsi="Arial" w:cs="Arial"/>
          <w:b/>
          <w:bCs/>
          <w:sz w:val="24"/>
          <w:szCs w:val="24"/>
          <w:lang w:val="en-US"/>
        </w:rPr>
        <w:t>Monetary Policy tools</w:t>
      </w:r>
    </w:p>
    <w:p w14:paraId="4C96A258" w14:textId="77777777" w:rsidR="006F2011" w:rsidRDefault="006F2011" w:rsidP="006F2011">
      <w:pPr>
        <w:ind w:left="1417" w:firstLine="720"/>
        <w:jc w:val="both"/>
        <w:rPr>
          <w:rFonts w:ascii="Arial" w:hAnsi="Arial" w:cs="Arial"/>
          <w:b/>
          <w:bCs/>
          <w:sz w:val="24"/>
          <w:szCs w:val="24"/>
          <w:lang w:val="en-US"/>
        </w:rPr>
      </w:pPr>
    </w:p>
    <w:p w14:paraId="59EF62F6" w14:textId="446E3C21" w:rsidR="006F2011" w:rsidRDefault="006F2011" w:rsidP="006F2011">
      <w:pPr>
        <w:ind w:left="283" w:firstLine="720"/>
        <w:jc w:val="both"/>
        <w:rPr>
          <w:rFonts w:ascii="Arial" w:hAnsi="Arial" w:cs="Arial"/>
          <w:b/>
          <w:bCs/>
          <w:sz w:val="24"/>
          <w:szCs w:val="24"/>
          <w:lang w:val="en-US"/>
        </w:rPr>
      </w:pPr>
      <w:r>
        <w:rPr>
          <w:noProof/>
        </w:rPr>
        <w:drawing>
          <wp:inline distT="0" distB="0" distL="0" distR="0" wp14:anchorId="5405864B" wp14:editId="68EE46F1">
            <wp:extent cx="4120515" cy="2658999"/>
            <wp:effectExtent l="0" t="0" r="0" b="8255"/>
            <wp:docPr id="1941512457" name="Picture 1" descr="Monetary Policy Tools in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etary Policy Tools in Indi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38831" cy="2670818"/>
                    </a:xfrm>
                    <a:prstGeom prst="rect">
                      <a:avLst/>
                    </a:prstGeom>
                    <a:noFill/>
                    <a:ln>
                      <a:noFill/>
                    </a:ln>
                  </pic:spPr>
                </pic:pic>
              </a:graphicData>
            </a:graphic>
          </wp:inline>
        </w:drawing>
      </w:r>
    </w:p>
    <w:p w14:paraId="584AD9FF" w14:textId="2307D3BA" w:rsidR="006F2011" w:rsidRPr="000921E4" w:rsidRDefault="006F2011" w:rsidP="000921E4">
      <w:pPr>
        <w:jc w:val="both"/>
        <w:rPr>
          <w:rFonts w:ascii="Arial" w:hAnsi="Arial" w:cs="Arial"/>
          <w:color w:val="222222"/>
          <w:shd w:val="clear" w:color="auto" w:fill="FFFFFF"/>
        </w:rPr>
      </w:pPr>
      <w:r w:rsidRPr="000921E4">
        <w:rPr>
          <w:rFonts w:ascii="Arial" w:hAnsi="Arial" w:cs="Arial"/>
          <w:color w:val="222222"/>
          <w:shd w:val="clear" w:color="auto" w:fill="FFFFFF"/>
        </w:rPr>
        <w:t>Bank Rate or Discount Rate is the </w:t>
      </w:r>
      <w:r w:rsidRPr="000921E4">
        <w:rPr>
          <w:rStyle w:val="Strong"/>
          <w:rFonts w:ascii="Arial" w:hAnsi="Arial" w:cs="Arial"/>
          <w:b w:val="0"/>
          <w:bCs w:val="0"/>
          <w:color w:val="222222"/>
          <w:sz w:val="24"/>
          <w:szCs w:val="24"/>
          <w:shd w:val="clear" w:color="auto" w:fill="FFFFFF"/>
        </w:rPr>
        <w:t>rate at which the RBI is ready to buy or rediscount Bills of Exchange or other Commercial Papers</w:t>
      </w:r>
      <w:r w:rsidRPr="000921E4">
        <w:rPr>
          <w:rFonts w:ascii="Arial" w:hAnsi="Arial" w:cs="Arial"/>
          <w:color w:val="222222"/>
          <w:shd w:val="clear" w:color="auto" w:fill="FFFFFF"/>
        </w:rPr>
        <w:t> from the Scheduled Commercial Banks.  an </w:t>
      </w:r>
      <w:r w:rsidRPr="000921E4">
        <w:rPr>
          <w:rStyle w:val="Strong"/>
          <w:rFonts w:ascii="Arial" w:hAnsi="Arial" w:cs="Arial"/>
          <w:b w:val="0"/>
          <w:bCs w:val="0"/>
          <w:color w:val="222222"/>
          <w:sz w:val="24"/>
          <w:szCs w:val="24"/>
          <w:shd w:val="clear" w:color="auto" w:fill="FFFFFF"/>
        </w:rPr>
        <w:t>increase in the Bank Rate</w:t>
      </w:r>
      <w:r w:rsidRPr="000921E4">
        <w:rPr>
          <w:rFonts w:ascii="Arial" w:hAnsi="Arial" w:cs="Arial"/>
          <w:color w:val="222222"/>
          <w:shd w:val="clear" w:color="auto" w:fill="FFFFFF"/>
        </w:rPr>
        <w:t> results in a </w:t>
      </w:r>
      <w:r w:rsidRPr="000921E4">
        <w:rPr>
          <w:rStyle w:val="Strong"/>
          <w:rFonts w:ascii="Arial" w:hAnsi="Arial" w:cs="Arial"/>
          <w:b w:val="0"/>
          <w:bCs w:val="0"/>
          <w:color w:val="222222"/>
          <w:sz w:val="24"/>
          <w:szCs w:val="24"/>
          <w:shd w:val="clear" w:color="auto" w:fill="FFFFFF"/>
        </w:rPr>
        <w:t>tightening of money supply</w:t>
      </w:r>
      <w:r w:rsidRPr="000921E4">
        <w:rPr>
          <w:rFonts w:ascii="Arial" w:hAnsi="Arial" w:cs="Arial"/>
          <w:color w:val="222222"/>
          <w:shd w:val="clear" w:color="auto" w:fill="FFFFFF"/>
        </w:rPr>
        <w:t> and vice versa.</w:t>
      </w:r>
    </w:p>
    <w:p w14:paraId="6CE50395" w14:textId="77777777" w:rsidR="006F2011" w:rsidRPr="006F2011" w:rsidRDefault="006F2011" w:rsidP="000921E4">
      <w:pPr>
        <w:shd w:val="clear" w:color="auto" w:fill="FFFFFF"/>
        <w:spacing w:before="100" w:beforeAutospacing="1" w:after="150" w:line="240" w:lineRule="auto"/>
        <w:jc w:val="both"/>
        <w:rPr>
          <w:rFonts w:ascii="Arial" w:eastAsia="Times New Roman" w:hAnsi="Arial" w:cs="Arial"/>
          <w:color w:val="222222"/>
          <w:kern w:val="0"/>
          <w:sz w:val="24"/>
          <w:szCs w:val="24"/>
          <w:lang w:eastAsia="en-IN"/>
          <w14:ligatures w14:val="none"/>
        </w:rPr>
      </w:pPr>
      <w:r w:rsidRPr="006F2011">
        <w:rPr>
          <w:rFonts w:ascii="Arial" w:eastAsia="Times New Roman" w:hAnsi="Arial" w:cs="Arial"/>
          <w:color w:val="222222"/>
          <w:kern w:val="0"/>
          <w:sz w:val="24"/>
          <w:szCs w:val="24"/>
          <w:lang w:eastAsia="en-IN"/>
          <w14:ligatures w14:val="none"/>
        </w:rPr>
        <w:t>Cash Reserve Ratio (CRR) is the minimum percentage of a bank’s total Demand and Time Liabilities (DTL) that a Scheduled Commercial Bank is obligated to deposit with the RBI in the form of cash.</w:t>
      </w:r>
    </w:p>
    <w:p w14:paraId="5BFE5CFD" w14:textId="77777777" w:rsidR="006F2011" w:rsidRPr="006F2011" w:rsidRDefault="006F2011" w:rsidP="000921E4">
      <w:pPr>
        <w:shd w:val="clear" w:color="auto" w:fill="FFFFFF"/>
        <w:spacing w:before="100" w:beforeAutospacing="1" w:after="150" w:line="240" w:lineRule="auto"/>
        <w:jc w:val="both"/>
        <w:rPr>
          <w:rFonts w:ascii="Arial" w:eastAsia="Times New Roman" w:hAnsi="Arial" w:cs="Arial"/>
          <w:color w:val="222222"/>
          <w:kern w:val="0"/>
          <w:sz w:val="24"/>
          <w:szCs w:val="24"/>
          <w:lang w:eastAsia="en-IN"/>
          <w14:ligatures w14:val="none"/>
        </w:rPr>
      </w:pPr>
      <w:r w:rsidRPr="006F2011">
        <w:rPr>
          <w:rFonts w:ascii="Arial" w:eastAsia="Times New Roman" w:hAnsi="Arial" w:cs="Arial"/>
          <w:color w:val="222222"/>
          <w:kern w:val="0"/>
          <w:sz w:val="24"/>
          <w:szCs w:val="24"/>
          <w:lang w:eastAsia="en-IN"/>
          <w14:ligatures w14:val="none"/>
        </w:rPr>
        <w:t xml:space="preserve">If CRR is increased: If the RBI increases the CRR, the commercial banks </w:t>
      </w:r>
      <w:proofErr w:type="gramStart"/>
      <w:r w:rsidRPr="006F2011">
        <w:rPr>
          <w:rFonts w:ascii="Arial" w:eastAsia="Times New Roman" w:hAnsi="Arial" w:cs="Arial"/>
          <w:color w:val="222222"/>
          <w:kern w:val="0"/>
          <w:sz w:val="24"/>
          <w:szCs w:val="24"/>
          <w:lang w:eastAsia="en-IN"/>
          <w14:ligatures w14:val="none"/>
        </w:rPr>
        <w:t>have to</w:t>
      </w:r>
      <w:proofErr w:type="gramEnd"/>
      <w:r w:rsidRPr="006F2011">
        <w:rPr>
          <w:rFonts w:ascii="Arial" w:eastAsia="Times New Roman" w:hAnsi="Arial" w:cs="Arial"/>
          <w:color w:val="222222"/>
          <w:kern w:val="0"/>
          <w:sz w:val="24"/>
          <w:szCs w:val="24"/>
          <w:lang w:eastAsia="en-IN"/>
          <w14:ligatures w14:val="none"/>
        </w:rPr>
        <w:t xml:space="preserve"> deposit more money with the RBI and are left with less money to lend to customers. Thus, the effect is reduced money supply in the economy.</w:t>
      </w:r>
    </w:p>
    <w:p w14:paraId="00320A69" w14:textId="77777777" w:rsidR="006F2011" w:rsidRPr="000921E4" w:rsidRDefault="006F2011" w:rsidP="000921E4">
      <w:pPr>
        <w:shd w:val="clear" w:color="auto" w:fill="FFFFFF"/>
        <w:spacing w:before="100" w:beforeAutospacing="1" w:after="150" w:line="240" w:lineRule="auto"/>
        <w:jc w:val="both"/>
        <w:rPr>
          <w:rFonts w:ascii="Arial" w:eastAsia="Times New Roman" w:hAnsi="Arial" w:cs="Arial"/>
          <w:color w:val="222222"/>
          <w:kern w:val="0"/>
          <w:sz w:val="24"/>
          <w:szCs w:val="24"/>
          <w:lang w:eastAsia="en-IN"/>
          <w14:ligatures w14:val="none"/>
        </w:rPr>
      </w:pPr>
      <w:r w:rsidRPr="006F2011">
        <w:rPr>
          <w:rFonts w:ascii="Arial" w:eastAsia="Times New Roman" w:hAnsi="Arial" w:cs="Arial"/>
          <w:color w:val="222222"/>
          <w:kern w:val="0"/>
          <w:sz w:val="24"/>
          <w:szCs w:val="24"/>
          <w:shd w:val="clear" w:color="auto" w:fill="FFFFFF"/>
          <w:lang w:eastAsia="en-IN"/>
          <w14:ligatures w14:val="none"/>
        </w:rPr>
        <w:t xml:space="preserve">Statutory Liquidity Ratio (SLR) is the percentage of Net Demand and Time Liabilities (NDTL) that a Scheduled Commercial Bank (SCB) </w:t>
      </w:r>
      <w:proofErr w:type="gramStart"/>
      <w:r w:rsidRPr="006F2011">
        <w:rPr>
          <w:rFonts w:ascii="Arial" w:eastAsia="Times New Roman" w:hAnsi="Arial" w:cs="Arial"/>
          <w:color w:val="222222"/>
          <w:kern w:val="0"/>
          <w:sz w:val="24"/>
          <w:szCs w:val="24"/>
          <w:shd w:val="clear" w:color="auto" w:fill="FFFFFF"/>
          <w:lang w:eastAsia="en-IN"/>
          <w14:ligatures w14:val="none"/>
        </w:rPr>
        <w:t>has to</w:t>
      </w:r>
      <w:proofErr w:type="gramEnd"/>
      <w:r w:rsidRPr="006F2011">
        <w:rPr>
          <w:rFonts w:ascii="Arial" w:eastAsia="Times New Roman" w:hAnsi="Arial" w:cs="Arial"/>
          <w:color w:val="222222"/>
          <w:kern w:val="0"/>
          <w:sz w:val="24"/>
          <w:szCs w:val="24"/>
          <w:shd w:val="clear" w:color="auto" w:fill="FFFFFF"/>
          <w:lang w:eastAsia="en-IN"/>
          <w14:ligatures w14:val="none"/>
        </w:rPr>
        <w:t> keep with itself, in the form of:</w:t>
      </w:r>
      <w:r w:rsidRPr="000921E4">
        <w:rPr>
          <w:rFonts w:ascii="Arial" w:eastAsia="Times New Roman" w:hAnsi="Arial" w:cs="Arial"/>
          <w:color w:val="222222"/>
          <w:kern w:val="0"/>
          <w:sz w:val="24"/>
          <w:szCs w:val="24"/>
          <w:shd w:val="clear" w:color="auto" w:fill="FFFFFF"/>
          <w:lang w:eastAsia="en-IN"/>
          <w14:ligatures w14:val="none"/>
        </w:rPr>
        <w:t xml:space="preserve"> </w:t>
      </w:r>
      <w:r w:rsidRPr="006F2011">
        <w:rPr>
          <w:rFonts w:ascii="Arial" w:eastAsia="Times New Roman" w:hAnsi="Arial" w:cs="Arial"/>
          <w:color w:val="222222"/>
          <w:kern w:val="0"/>
          <w:sz w:val="24"/>
          <w:szCs w:val="24"/>
          <w:lang w:eastAsia="en-IN"/>
          <w14:ligatures w14:val="none"/>
        </w:rPr>
        <w:t>Cash, or</w:t>
      </w:r>
      <w:r w:rsidRPr="000921E4">
        <w:rPr>
          <w:rFonts w:ascii="Arial" w:eastAsia="Times New Roman" w:hAnsi="Arial" w:cs="Arial"/>
          <w:color w:val="222222"/>
          <w:kern w:val="0"/>
          <w:sz w:val="24"/>
          <w:szCs w:val="24"/>
          <w:lang w:eastAsia="en-IN"/>
          <w14:ligatures w14:val="none"/>
        </w:rPr>
        <w:t xml:space="preserve"> </w:t>
      </w:r>
      <w:r w:rsidRPr="006F2011">
        <w:rPr>
          <w:rFonts w:ascii="Arial" w:eastAsia="Times New Roman" w:hAnsi="Arial" w:cs="Arial"/>
          <w:color w:val="222222"/>
          <w:kern w:val="0"/>
          <w:sz w:val="24"/>
          <w:szCs w:val="24"/>
          <w:lang w:eastAsia="en-IN"/>
          <w14:ligatures w14:val="none"/>
        </w:rPr>
        <w:t>Gold, or</w:t>
      </w:r>
      <w:r w:rsidRPr="000921E4">
        <w:rPr>
          <w:rFonts w:ascii="Arial" w:eastAsia="Times New Roman" w:hAnsi="Arial" w:cs="Arial"/>
          <w:color w:val="222222"/>
          <w:kern w:val="0"/>
          <w:sz w:val="24"/>
          <w:szCs w:val="24"/>
          <w:lang w:eastAsia="en-IN"/>
          <w14:ligatures w14:val="none"/>
        </w:rPr>
        <w:t xml:space="preserve"> </w:t>
      </w:r>
      <w:r w:rsidRPr="006F2011">
        <w:rPr>
          <w:rFonts w:ascii="Arial" w:eastAsia="Times New Roman" w:hAnsi="Arial" w:cs="Arial"/>
          <w:color w:val="222222"/>
          <w:kern w:val="0"/>
          <w:sz w:val="24"/>
          <w:szCs w:val="24"/>
          <w:lang w:eastAsia="en-IN"/>
          <w14:ligatures w14:val="none"/>
        </w:rPr>
        <w:t>SLR Securities (such as government bonds, treasury bills, and any other instrument notified by the RBI)</w:t>
      </w:r>
      <w:r w:rsidRPr="000921E4">
        <w:rPr>
          <w:rFonts w:ascii="Arial" w:eastAsia="Times New Roman" w:hAnsi="Arial" w:cs="Arial"/>
          <w:color w:val="222222"/>
          <w:kern w:val="0"/>
          <w:sz w:val="24"/>
          <w:szCs w:val="24"/>
          <w:lang w:eastAsia="en-IN"/>
          <w14:ligatures w14:val="none"/>
        </w:rPr>
        <w:t>. If SLR is increased: If the RBI increases the SLR, the commercial banks are left with less money to lend to customers. Thus, the effect is reduced money supply in the economy.</w:t>
      </w:r>
    </w:p>
    <w:p w14:paraId="6BEBFD8C" w14:textId="77777777" w:rsidR="000921E4" w:rsidRPr="000921E4" w:rsidRDefault="000921E4" w:rsidP="000921E4">
      <w:pPr>
        <w:pStyle w:val="Heading2"/>
        <w:shd w:val="clear" w:color="auto" w:fill="FFFFFF"/>
        <w:spacing w:before="450" w:after="300" w:line="570" w:lineRule="atLeast"/>
        <w:jc w:val="both"/>
        <w:rPr>
          <w:rFonts w:ascii="Arial" w:hAnsi="Arial" w:cs="Arial"/>
          <w:color w:val="auto"/>
          <w:sz w:val="24"/>
          <w:szCs w:val="24"/>
        </w:rPr>
      </w:pPr>
      <w:r w:rsidRPr="000921E4">
        <w:rPr>
          <w:rStyle w:val="Strong"/>
          <w:rFonts w:ascii="Arial" w:hAnsi="Arial" w:cs="Arial"/>
          <w:b w:val="0"/>
          <w:bCs w:val="0"/>
          <w:color w:val="auto"/>
          <w:sz w:val="24"/>
          <w:szCs w:val="24"/>
        </w:rPr>
        <w:lastRenderedPageBreak/>
        <w:t>Significance of Monetary Policy</w:t>
      </w:r>
    </w:p>
    <w:p w14:paraId="576AD3CD" w14:textId="77777777" w:rsidR="000921E4" w:rsidRPr="000921E4" w:rsidRDefault="000921E4" w:rsidP="000921E4">
      <w:pPr>
        <w:shd w:val="clear" w:color="auto" w:fill="FFFFFF"/>
        <w:spacing w:before="100" w:beforeAutospacing="1" w:after="150" w:line="240" w:lineRule="auto"/>
        <w:jc w:val="both"/>
        <w:rPr>
          <w:rFonts w:ascii="Arial" w:hAnsi="Arial" w:cs="Arial"/>
          <w:sz w:val="24"/>
          <w:szCs w:val="24"/>
        </w:rPr>
      </w:pPr>
      <w:r w:rsidRPr="000921E4">
        <w:rPr>
          <w:rFonts w:ascii="Arial" w:hAnsi="Arial" w:cs="Arial"/>
          <w:sz w:val="24"/>
          <w:szCs w:val="24"/>
        </w:rPr>
        <w:t>It plays an important role in maintaining price stability and ensuring economic growth.</w:t>
      </w:r>
    </w:p>
    <w:p w14:paraId="384C47B3" w14:textId="77777777" w:rsidR="000921E4" w:rsidRPr="000921E4" w:rsidRDefault="000921E4" w:rsidP="000921E4">
      <w:pPr>
        <w:shd w:val="clear" w:color="auto" w:fill="FFFFFF"/>
        <w:spacing w:before="100" w:beforeAutospacing="1" w:after="150" w:line="240" w:lineRule="auto"/>
        <w:jc w:val="both"/>
        <w:rPr>
          <w:rFonts w:ascii="Arial" w:hAnsi="Arial" w:cs="Arial"/>
          <w:sz w:val="24"/>
          <w:szCs w:val="24"/>
        </w:rPr>
      </w:pPr>
      <w:r w:rsidRPr="000921E4">
        <w:rPr>
          <w:rFonts w:ascii="Arial" w:hAnsi="Arial" w:cs="Arial"/>
          <w:sz w:val="24"/>
          <w:szCs w:val="24"/>
        </w:rPr>
        <w:t>By maintaining price stability, it helps manage inflation.</w:t>
      </w:r>
    </w:p>
    <w:p w14:paraId="61676AE7" w14:textId="77777777" w:rsidR="000921E4" w:rsidRPr="000921E4" w:rsidRDefault="000921E4" w:rsidP="000921E4">
      <w:pPr>
        <w:shd w:val="clear" w:color="auto" w:fill="FFFFFF"/>
        <w:spacing w:before="100" w:beforeAutospacing="1" w:after="150" w:line="240" w:lineRule="auto"/>
        <w:jc w:val="both"/>
        <w:rPr>
          <w:rFonts w:ascii="Arial" w:hAnsi="Arial" w:cs="Arial"/>
          <w:sz w:val="24"/>
          <w:szCs w:val="24"/>
        </w:rPr>
      </w:pPr>
      <w:r w:rsidRPr="000921E4">
        <w:rPr>
          <w:rFonts w:ascii="Arial" w:hAnsi="Arial" w:cs="Arial"/>
          <w:sz w:val="24"/>
          <w:szCs w:val="24"/>
        </w:rPr>
        <w:t>It shapes variables like Consumption, Savings, Investment, and capital formation.</w:t>
      </w:r>
    </w:p>
    <w:p w14:paraId="577D07B1" w14:textId="77777777" w:rsidR="000921E4" w:rsidRPr="000921E4" w:rsidRDefault="000921E4" w:rsidP="000921E4">
      <w:pPr>
        <w:shd w:val="clear" w:color="auto" w:fill="FFFFFF"/>
        <w:spacing w:before="100" w:beforeAutospacing="1" w:after="150" w:line="240" w:lineRule="auto"/>
        <w:jc w:val="both"/>
        <w:rPr>
          <w:rFonts w:ascii="Arial" w:hAnsi="Arial" w:cs="Arial"/>
          <w:sz w:val="24"/>
          <w:szCs w:val="24"/>
        </w:rPr>
      </w:pPr>
      <w:r w:rsidRPr="000921E4">
        <w:rPr>
          <w:rFonts w:ascii="Arial" w:hAnsi="Arial" w:cs="Arial"/>
          <w:sz w:val="24"/>
          <w:szCs w:val="24"/>
        </w:rPr>
        <w:t>An increase in the money supply helps to stimulate the business sector, which also helps to create more jobs.</w:t>
      </w:r>
    </w:p>
    <w:p w14:paraId="729D0117" w14:textId="77777777" w:rsidR="000921E4" w:rsidRPr="000921E4" w:rsidRDefault="000921E4" w:rsidP="000921E4">
      <w:pPr>
        <w:shd w:val="clear" w:color="auto" w:fill="FFFFFF"/>
        <w:spacing w:before="100" w:beforeAutospacing="1" w:after="0" w:line="240" w:lineRule="auto"/>
        <w:jc w:val="both"/>
        <w:rPr>
          <w:rFonts w:ascii="Arial" w:hAnsi="Arial" w:cs="Arial"/>
          <w:sz w:val="24"/>
          <w:szCs w:val="24"/>
        </w:rPr>
      </w:pPr>
      <w:r w:rsidRPr="000921E4">
        <w:rPr>
          <w:rFonts w:ascii="Arial" w:hAnsi="Arial" w:cs="Arial"/>
          <w:sz w:val="24"/>
          <w:szCs w:val="24"/>
        </w:rPr>
        <w:t>By controlling the money supply in the market, it helps balance Currency Exchange Rates.</w:t>
      </w:r>
    </w:p>
    <w:p w14:paraId="51C5E30C" w14:textId="1AC617C4" w:rsidR="006F2011" w:rsidRDefault="006F2011" w:rsidP="000921E4">
      <w:pPr>
        <w:spacing w:after="0" w:line="240" w:lineRule="auto"/>
        <w:ind w:left="1035"/>
        <w:rPr>
          <w:rFonts w:ascii="Arial" w:hAnsi="Arial" w:cs="Arial"/>
          <w:b/>
          <w:bCs/>
          <w:sz w:val="24"/>
          <w:szCs w:val="24"/>
          <w:lang w:val="en-US"/>
        </w:rPr>
      </w:pPr>
    </w:p>
    <w:p w14:paraId="024C30D0" w14:textId="0F9D9292" w:rsidR="000921E4" w:rsidRDefault="000251BF" w:rsidP="000921E4">
      <w:pPr>
        <w:spacing w:after="0" w:line="240" w:lineRule="auto"/>
        <w:ind w:left="1035"/>
        <w:rPr>
          <w:rFonts w:ascii="Arial" w:hAnsi="Arial" w:cs="Arial"/>
          <w:b/>
          <w:bCs/>
          <w:sz w:val="24"/>
          <w:szCs w:val="24"/>
          <w:lang w:val="en-US"/>
        </w:rPr>
      </w:pPr>
      <w:r>
        <w:rPr>
          <w:rFonts w:ascii="Arial" w:hAnsi="Arial" w:cs="Arial"/>
          <w:b/>
          <w:bCs/>
          <w:sz w:val="24"/>
          <w:szCs w:val="24"/>
          <w:lang w:val="en-US"/>
        </w:rPr>
        <w:t xml:space="preserve">Role of RBI in controlling government debt and liquidity </w:t>
      </w:r>
    </w:p>
    <w:p w14:paraId="6EF6240C" w14:textId="77777777" w:rsidR="000251BF" w:rsidRDefault="000251BF" w:rsidP="000251BF">
      <w:pPr>
        <w:spacing w:after="0" w:line="240" w:lineRule="auto"/>
        <w:rPr>
          <w:rFonts w:ascii="Arial" w:hAnsi="Arial" w:cs="Arial"/>
          <w:b/>
          <w:bCs/>
          <w:sz w:val="24"/>
          <w:szCs w:val="24"/>
          <w:lang w:val="en-US"/>
        </w:rPr>
      </w:pPr>
    </w:p>
    <w:p w14:paraId="099DD1D7" w14:textId="77777777" w:rsidR="008F4DDA" w:rsidRPr="00422040" w:rsidRDefault="008F4DDA" w:rsidP="008F4DDA">
      <w:pPr>
        <w:pStyle w:val="NormalWeb"/>
        <w:shd w:val="clear" w:color="auto" w:fill="FFFFFF"/>
        <w:spacing w:before="75" w:beforeAutospacing="0" w:after="120" w:afterAutospacing="0"/>
        <w:ind w:left="75" w:right="75"/>
        <w:jc w:val="both"/>
        <w:rPr>
          <w:rFonts w:ascii="Arial" w:hAnsi="Arial" w:cs="Arial"/>
          <w:color w:val="000000"/>
        </w:rPr>
      </w:pPr>
      <w:r w:rsidRPr="00422040">
        <w:rPr>
          <w:rFonts w:ascii="Arial" w:hAnsi="Arial" w:cs="Arial"/>
          <w:color w:val="000000"/>
        </w:rPr>
        <w:t> Liquidity in debt markets is essential as it offers the comfort to the investors in terms of ease of transaction, helps issuers as liquidity makes financial instruments attractive investments and is also critical for the effectiveness of the monetary policy transmission. The state can improve liquidity by accessing the market regularly, building up volumes in benchmark issuances and pursuing an active buy-back programme. The market liquidity is also impacted by the risk preferences of the market participants, their ability to run short positions and the development of funding markets (such as repo markets) allowing them to take positions in the debt markets.</w:t>
      </w:r>
    </w:p>
    <w:p w14:paraId="0A18DEA5" w14:textId="449168B2" w:rsidR="00231C45" w:rsidRPr="00422040" w:rsidRDefault="00231C45" w:rsidP="00231C45">
      <w:pPr>
        <w:pStyle w:val="NormalWeb"/>
        <w:shd w:val="clear" w:color="auto" w:fill="FFFFFF"/>
        <w:spacing w:before="75" w:beforeAutospacing="0" w:after="120" w:afterAutospacing="0"/>
        <w:ind w:left="75" w:right="75"/>
        <w:jc w:val="both"/>
        <w:rPr>
          <w:rFonts w:ascii="Arial" w:hAnsi="Arial" w:cs="Arial"/>
          <w:color w:val="000000"/>
        </w:rPr>
      </w:pPr>
      <w:r w:rsidRPr="00422040">
        <w:rPr>
          <w:rFonts w:ascii="Arial" w:hAnsi="Arial" w:cs="Arial"/>
          <w:color w:val="000000"/>
        </w:rPr>
        <w:t>A policy of passive consolidation through reissuance/ re-openings is being followed to improve liquidity and to facilitate consolidation of debt. The larger stock size of securities has significantly improved market liquidity and helped the emergence of benchmark securities in the market. Active consolidation has not been resorted to (except a few buy-backs) in view of fiscal considerations. However, to promote liquidity, process of active consolidation consisting of issuance of securities at various maturity points in conjunction with further steps like buyback and switches is needed.</w:t>
      </w:r>
    </w:p>
    <w:p w14:paraId="4F1CBFE4" w14:textId="2465227D" w:rsidR="00422040" w:rsidRPr="00687770" w:rsidRDefault="008F4DDA" w:rsidP="00687770">
      <w:pPr>
        <w:pStyle w:val="NormalWeb"/>
        <w:shd w:val="clear" w:color="auto" w:fill="FFFFFF"/>
        <w:spacing w:before="75" w:beforeAutospacing="0" w:after="120" w:afterAutospacing="0"/>
        <w:ind w:left="75" w:right="75"/>
        <w:jc w:val="both"/>
        <w:rPr>
          <w:rFonts w:ascii="Arial" w:hAnsi="Arial" w:cs="Arial"/>
          <w:color w:val="000000"/>
          <w:shd w:val="clear" w:color="auto" w:fill="FFFFFF"/>
        </w:rPr>
      </w:pPr>
      <w:r w:rsidRPr="00422040">
        <w:rPr>
          <w:rFonts w:ascii="Arial" w:hAnsi="Arial" w:cs="Arial"/>
          <w:color w:val="000000"/>
          <w:shd w:val="clear" w:color="auto" w:fill="FFFFFF"/>
        </w:rPr>
        <w:t xml:space="preserve">Debt market development is also dependent on development of related markets viz. money markets, repo markets and derivatives markets as these markets provide funding avenues and risk management tools. Reserve Bank made conscious efforts to develop an efficient, </w:t>
      </w:r>
      <w:proofErr w:type="gramStart"/>
      <w:r w:rsidRPr="00422040">
        <w:rPr>
          <w:rFonts w:ascii="Arial" w:hAnsi="Arial" w:cs="Arial"/>
          <w:color w:val="000000"/>
          <w:shd w:val="clear" w:color="auto" w:fill="FFFFFF"/>
        </w:rPr>
        <w:t>stable</w:t>
      </w:r>
      <w:proofErr w:type="gramEnd"/>
      <w:r w:rsidRPr="00422040">
        <w:rPr>
          <w:rFonts w:ascii="Arial" w:hAnsi="Arial" w:cs="Arial"/>
          <w:color w:val="000000"/>
          <w:shd w:val="clear" w:color="auto" w:fill="FFFFFF"/>
        </w:rPr>
        <w:t xml:space="preserve"> and liquid money market by creating a favourable policy environment through appropriate institutional changes, instruments, technologies and market practices. Call money market was developed into primarily an inter-bank market, and other market participants were encouraged to migrate towards collateralized segments of the market, thereby increasing overall market integrity. Necessary market infrastructure in form of safe trading and settlement system was developed. These measures enhanced the efficacy of funding markets and in turn improved trading in debt markets.</w:t>
      </w:r>
    </w:p>
    <w:p w14:paraId="48767EEE" w14:textId="433434B9" w:rsidR="00231C45" w:rsidRPr="00422040" w:rsidRDefault="00231C45" w:rsidP="00231C45">
      <w:pPr>
        <w:pStyle w:val="NormalWeb"/>
        <w:shd w:val="clear" w:color="auto" w:fill="FFFFFF"/>
        <w:spacing w:before="75" w:beforeAutospacing="0" w:after="120" w:afterAutospacing="0"/>
        <w:ind w:left="75" w:right="75"/>
        <w:jc w:val="both"/>
        <w:rPr>
          <w:rFonts w:ascii="Arial" w:hAnsi="Arial" w:cs="Arial"/>
          <w:color w:val="000000"/>
        </w:rPr>
      </w:pPr>
      <w:r w:rsidRPr="00422040">
        <w:rPr>
          <w:rFonts w:ascii="Arial" w:hAnsi="Arial" w:cs="Arial"/>
          <w:color w:val="000000"/>
        </w:rPr>
        <w:t>Government actions through debt markets</w:t>
      </w:r>
    </w:p>
    <w:p w14:paraId="5EBB16D5" w14:textId="77777777" w:rsidR="00231C45" w:rsidRPr="00422040" w:rsidRDefault="00231C45" w:rsidP="00231C45">
      <w:pPr>
        <w:pStyle w:val="NormalWeb"/>
        <w:shd w:val="clear" w:color="auto" w:fill="FFFFFF"/>
        <w:spacing w:before="75" w:beforeAutospacing="0" w:after="120" w:afterAutospacing="0"/>
        <w:ind w:left="75" w:right="75"/>
        <w:jc w:val="both"/>
        <w:rPr>
          <w:rFonts w:ascii="Arial" w:hAnsi="Arial" w:cs="Arial"/>
          <w:color w:val="000000"/>
        </w:rPr>
      </w:pPr>
      <w:r w:rsidRPr="00422040">
        <w:rPr>
          <w:rFonts w:ascii="Arial" w:hAnsi="Arial" w:cs="Arial"/>
          <w:color w:val="000000"/>
        </w:rPr>
        <w:t xml:space="preserve">Indian bond market has made rapid strides in the last few years due to several initiatives undertaken by the state, central </w:t>
      </w:r>
      <w:proofErr w:type="gramStart"/>
      <w:r w:rsidRPr="00422040">
        <w:rPr>
          <w:rFonts w:ascii="Arial" w:hAnsi="Arial" w:cs="Arial"/>
          <w:color w:val="000000"/>
        </w:rPr>
        <w:t>bank</w:t>
      </w:r>
      <w:proofErr w:type="gramEnd"/>
      <w:r w:rsidRPr="00422040">
        <w:rPr>
          <w:rFonts w:ascii="Arial" w:hAnsi="Arial" w:cs="Arial"/>
          <w:color w:val="000000"/>
        </w:rPr>
        <w:t xml:space="preserve"> and other stake holders. Although activities in corporate bonds market have picked up, the Indian bonds market </w:t>
      </w:r>
      <w:r w:rsidRPr="00422040">
        <w:rPr>
          <w:rFonts w:ascii="Arial" w:hAnsi="Arial" w:cs="Arial"/>
          <w:color w:val="000000"/>
        </w:rPr>
        <w:lastRenderedPageBreak/>
        <w:t>continues to be dominated by Government bonds market. One of the landmark initiatives in this regard was phasing out of automatic monetization of fiscal deficit through issue of ad hoc Treasury Bills with effect from April 1, 1997 through a supplemental agreement signed between Government of India (</w:t>
      </w:r>
      <w:proofErr w:type="spellStart"/>
      <w:r w:rsidRPr="00422040">
        <w:rPr>
          <w:rFonts w:ascii="Arial" w:hAnsi="Arial" w:cs="Arial"/>
          <w:color w:val="000000"/>
        </w:rPr>
        <w:t>GoI</w:t>
      </w:r>
      <w:proofErr w:type="spellEnd"/>
      <w:r w:rsidRPr="00422040">
        <w:rPr>
          <w:rFonts w:ascii="Arial" w:hAnsi="Arial" w:cs="Arial"/>
          <w:color w:val="000000"/>
        </w:rPr>
        <w:t xml:space="preserve">) and RBI on March 26, 1997. This agreement paved the way for funding the fiscal deficit of </w:t>
      </w:r>
      <w:proofErr w:type="spellStart"/>
      <w:r w:rsidRPr="00422040">
        <w:rPr>
          <w:rFonts w:ascii="Arial" w:hAnsi="Arial" w:cs="Arial"/>
          <w:color w:val="000000"/>
        </w:rPr>
        <w:t>GoI</w:t>
      </w:r>
      <w:proofErr w:type="spellEnd"/>
      <w:r w:rsidRPr="00422040">
        <w:rPr>
          <w:rFonts w:ascii="Arial" w:hAnsi="Arial" w:cs="Arial"/>
          <w:color w:val="000000"/>
        </w:rPr>
        <w:t xml:space="preserve"> through market loans and thereby, need to develop the Government bonds market.  Another landmark initiative was Fiscal Responsibility and Budget Management (FRBM) Act, 2003 prohibiting RBI’s subscription to the Government bonds in the primary auction with effect from April 1, 2006. This initiative resulted in issuance of all Government bonds in the market and improved the depth of both primary and secondary segments of the Government bonds market.</w:t>
      </w:r>
    </w:p>
    <w:p w14:paraId="4A67C2EB" w14:textId="4C312B61" w:rsidR="00231C45" w:rsidRPr="00422040" w:rsidRDefault="00231C45" w:rsidP="00231C45">
      <w:pPr>
        <w:pStyle w:val="NormalWeb"/>
        <w:shd w:val="clear" w:color="auto" w:fill="FFFFFF"/>
        <w:spacing w:before="75" w:beforeAutospacing="0" w:after="120" w:afterAutospacing="0"/>
        <w:ind w:left="75" w:right="75"/>
        <w:jc w:val="both"/>
        <w:rPr>
          <w:rFonts w:ascii="Arial" w:hAnsi="Arial" w:cs="Arial"/>
          <w:color w:val="000000"/>
        </w:rPr>
      </w:pPr>
      <w:r w:rsidRPr="00422040">
        <w:rPr>
          <w:rFonts w:ascii="Arial" w:hAnsi="Arial" w:cs="Arial"/>
          <w:color w:val="000000"/>
        </w:rPr>
        <w:t>Some of the other important initiatives taken with respect to the Government bonds market were (</w:t>
      </w:r>
      <w:proofErr w:type="spellStart"/>
      <w:r w:rsidRPr="00422040">
        <w:rPr>
          <w:rFonts w:ascii="Arial" w:hAnsi="Arial" w:cs="Arial"/>
          <w:color w:val="000000"/>
        </w:rPr>
        <w:t>i</w:t>
      </w:r>
      <w:proofErr w:type="spellEnd"/>
      <w:r w:rsidRPr="00422040">
        <w:rPr>
          <w:rFonts w:ascii="Arial" w:hAnsi="Arial" w:cs="Arial"/>
          <w:color w:val="000000"/>
        </w:rPr>
        <w:t>) State governments’ fund raising shifting to market through an auction system; (ii) introduction of primary dealers (PDs) network; (iii) introduction of When Issued market; (iv) issuance of half-yearly auction calendars covering quantum, timing &amp; tenor of securities for providing transparency and certainty to the market participants; (v) setting up electronic platforms for primary auctions, namely, the Negotiated Dealing System Auction (NDS-Auction); and (vi) setting up electronic Order Matching (OM) platform for secondary market trade, namely, the NDS-OM. Consequently, the volume in Government bonds market increased significantly.</w:t>
      </w:r>
    </w:p>
    <w:p w14:paraId="5402D8AE" w14:textId="77777777" w:rsidR="000251BF" w:rsidRPr="00422040" w:rsidRDefault="000251BF" w:rsidP="000251BF">
      <w:pPr>
        <w:spacing w:after="0" w:line="240" w:lineRule="auto"/>
        <w:rPr>
          <w:rFonts w:ascii="Arial" w:hAnsi="Arial" w:cs="Arial"/>
          <w:sz w:val="24"/>
          <w:szCs w:val="24"/>
          <w:lang w:val="en-US"/>
        </w:rPr>
      </w:pPr>
    </w:p>
    <w:p w14:paraId="04B78C96" w14:textId="24F8F8E5" w:rsidR="006F2011" w:rsidRPr="001702B0" w:rsidRDefault="00687770" w:rsidP="001702B0">
      <w:pPr>
        <w:ind w:left="1440" w:firstLine="720"/>
        <w:jc w:val="both"/>
        <w:rPr>
          <w:rFonts w:ascii="Arial" w:hAnsi="Arial" w:cs="Arial"/>
          <w:b/>
          <w:bCs/>
          <w:sz w:val="24"/>
          <w:szCs w:val="24"/>
          <w:lang w:val="en-US"/>
        </w:rPr>
      </w:pPr>
      <w:r w:rsidRPr="001702B0">
        <w:rPr>
          <w:rFonts w:ascii="Arial" w:hAnsi="Arial" w:cs="Arial"/>
          <w:b/>
          <w:bCs/>
          <w:sz w:val="24"/>
          <w:szCs w:val="24"/>
          <w:lang w:val="en-US"/>
        </w:rPr>
        <w:t>Recent activity in the debt markets</w:t>
      </w:r>
    </w:p>
    <w:p w14:paraId="03828EBA" w14:textId="05F26475" w:rsidR="00687770" w:rsidRDefault="00687770" w:rsidP="00687770">
      <w:pPr>
        <w:pStyle w:val="NormalWeb"/>
        <w:numPr>
          <w:ilvl w:val="0"/>
          <w:numId w:val="40"/>
        </w:numPr>
        <w:shd w:val="clear" w:color="auto" w:fill="FFFFFF"/>
        <w:spacing w:before="0" w:beforeAutospacing="0" w:after="0" w:afterAutospacing="0" w:line="420" w:lineRule="atLeast"/>
        <w:ind w:left="360"/>
        <w:rPr>
          <w:rFonts w:ascii="Arial" w:hAnsi="Arial" w:cs="Arial"/>
          <w:color w:val="000000"/>
        </w:rPr>
      </w:pPr>
      <w:r w:rsidRPr="00687770">
        <w:rPr>
          <w:rFonts w:ascii="Arial" w:hAnsi="Arial" w:cs="Arial"/>
          <w:color w:val="000000"/>
        </w:rPr>
        <w:t>Previously access to bond investments was not possible for the individual investor and now due to technological innovation and protective regulation, this asset class has been enabled for all via SEBI-regulated online bond platforms like IndiaBonds.com. </w:t>
      </w:r>
    </w:p>
    <w:p w14:paraId="091F9475" w14:textId="77777777" w:rsidR="00687770" w:rsidRPr="00687770" w:rsidRDefault="00687770" w:rsidP="00687770">
      <w:pPr>
        <w:pStyle w:val="NormalWeb"/>
        <w:numPr>
          <w:ilvl w:val="0"/>
          <w:numId w:val="40"/>
        </w:numPr>
        <w:shd w:val="clear" w:color="auto" w:fill="FFFFFF"/>
        <w:spacing w:before="0" w:beforeAutospacing="0" w:after="0" w:afterAutospacing="0" w:line="420" w:lineRule="atLeast"/>
        <w:ind w:left="340"/>
        <w:rPr>
          <w:rFonts w:ascii="Arial" w:hAnsi="Arial" w:cs="Arial"/>
          <w:color w:val="000000"/>
        </w:rPr>
      </w:pPr>
      <w:r w:rsidRPr="00687770">
        <w:rPr>
          <w:rFonts w:ascii="Arial" w:hAnsi="Arial" w:cs="Arial"/>
          <w:color w:val="000000"/>
        </w:rPr>
        <w:t>JP Morgan Index inclusion of India Government Bonds is a watershed moment for the fixed-income markets in India and very welcome. </w:t>
      </w:r>
    </w:p>
    <w:p w14:paraId="1B8F14E3" w14:textId="77777777" w:rsidR="00687770" w:rsidRPr="00687770" w:rsidRDefault="00687770" w:rsidP="00687770">
      <w:pPr>
        <w:pStyle w:val="NormalWeb"/>
        <w:shd w:val="clear" w:color="auto" w:fill="FFFFFF"/>
        <w:spacing w:before="0" w:beforeAutospacing="0" w:after="0" w:afterAutospacing="0" w:line="420" w:lineRule="atLeast"/>
        <w:ind w:left="340"/>
        <w:rPr>
          <w:rFonts w:ascii="Arial" w:hAnsi="Arial" w:cs="Arial"/>
          <w:color w:val="000000"/>
        </w:rPr>
      </w:pPr>
      <w:r w:rsidRPr="00687770">
        <w:rPr>
          <w:rFonts w:ascii="Arial" w:hAnsi="Arial" w:cs="Arial"/>
          <w:color w:val="000000"/>
        </w:rPr>
        <w:t>This compulsorily puts Indian bond markets on the radar of global bond investors and although initial investments are supposed to be to the tune of $20-30 billion, index inclusion paves the way for this number to keep growing in the next few years. </w:t>
      </w:r>
    </w:p>
    <w:p w14:paraId="5B210DC6" w14:textId="77777777" w:rsidR="00687770" w:rsidRPr="00687770" w:rsidRDefault="00687770" w:rsidP="00687770">
      <w:pPr>
        <w:pStyle w:val="NormalWeb"/>
        <w:shd w:val="clear" w:color="auto" w:fill="FFFFFF"/>
        <w:spacing w:before="0" w:beforeAutospacing="0" w:after="0" w:afterAutospacing="0" w:line="420" w:lineRule="atLeast"/>
        <w:ind w:left="340"/>
        <w:rPr>
          <w:rFonts w:ascii="Arial" w:hAnsi="Arial" w:cs="Arial"/>
          <w:color w:val="000000"/>
        </w:rPr>
      </w:pPr>
      <w:r w:rsidRPr="00687770">
        <w:rPr>
          <w:rFonts w:ascii="Arial" w:hAnsi="Arial" w:cs="Arial"/>
          <w:color w:val="000000"/>
        </w:rPr>
        <w:t>It is important to grow the investor base for any market, and index inclusion helps in expanding the number of players, which further benefits everyone in the form of additional market liquidity. </w:t>
      </w:r>
    </w:p>
    <w:p w14:paraId="1E1A3F72" w14:textId="77777777" w:rsidR="00687770" w:rsidRPr="00687770" w:rsidRDefault="00687770" w:rsidP="00687770">
      <w:pPr>
        <w:pStyle w:val="NormalWeb"/>
        <w:shd w:val="clear" w:color="auto" w:fill="FFFFFF"/>
        <w:spacing w:before="0" w:beforeAutospacing="0" w:after="0" w:afterAutospacing="0" w:line="420" w:lineRule="atLeast"/>
        <w:ind w:left="340"/>
        <w:rPr>
          <w:rFonts w:ascii="Arial" w:hAnsi="Arial" w:cs="Arial"/>
          <w:color w:val="000000"/>
        </w:rPr>
      </w:pPr>
      <w:r w:rsidRPr="00687770">
        <w:rPr>
          <w:rFonts w:ascii="Arial" w:hAnsi="Arial" w:cs="Arial"/>
          <w:color w:val="000000"/>
        </w:rPr>
        <w:t>Global investors have been looking to allocate capital to emerging markets given their reluctance to invest in other large countries like Russia or China in the past couple of years.</w:t>
      </w:r>
    </w:p>
    <w:p w14:paraId="2694F347" w14:textId="15A1A6C6" w:rsidR="00687770" w:rsidRPr="00687770" w:rsidRDefault="00687770" w:rsidP="00687770">
      <w:pPr>
        <w:pStyle w:val="NormalWeb"/>
        <w:shd w:val="clear" w:color="auto" w:fill="FFFFFF"/>
        <w:spacing w:before="0" w:beforeAutospacing="0" w:after="0" w:afterAutospacing="0" w:line="420" w:lineRule="atLeast"/>
        <w:jc w:val="both"/>
        <w:rPr>
          <w:rFonts w:ascii="Arial" w:hAnsi="Arial" w:cs="Arial"/>
          <w:color w:val="000000"/>
        </w:rPr>
      </w:pPr>
      <w:r>
        <w:rPr>
          <w:rFonts w:ascii="Arial" w:hAnsi="Arial" w:cs="Arial"/>
          <w:color w:val="000000"/>
        </w:rPr>
        <w:lastRenderedPageBreak/>
        <w:t>3.</w:t>
      </w:r>
      <w:r w:rsidRPr="00687770">
        <w:rPr>
          <w:rFonts w:ascii="Arial" w:hAnsi="Arial" w:cs="Arial"/>
          <w:color w:val="000000"/>
        </w:rPr>
        <w:t>Bloomberg Index Services would include in its Emerging Market Local Currency Index from Jan. 31 next year 34 Indian government bonds eligible for investment via the country's fully accessible route (FAR).</w:t>
      </w:r>
    </w:p>
    <w:p w14:paraId="3B45BF2A" w14:textId="77777777" w:rsidR="00687770" w:rsidRPr="00687770" w:rsidRDefault="00687770" w:rsidP="00687770">
      <w:pPr>
        <w:pStyle w:val="NormalWeb"/>
        <w:shd w:val="clear" w:color="auto" w:fill="FFFFFF"/>
        <w:spacing w:before="0" w:beforeAutospacing="0" w:after="0" w:afterAutospacing="0" w:line="420" w:lineRule="atLeast"/>
        <w:jc w:val="both"/>
        <w:rPr>
          <w:rFonts w:ascii="Arial" w:hAnsi="Arial" w:cs="Arial"/>
          <w:color w:val="000000"/>
        </w:rPr>
      </w:pPr>
      <w:r w:rsidRPr="00687770">
        <w:rPr>
          <w:rFonts w:ascii="Arial" w:hAnsi="Arial" w:cs="Arial"/>
          <w:color w:val="000000"/>
        </w:rPr>
        <w:t>"The inclusion of these bonds will be phased in over a 10-month period starting on the rebalance date of January 31, 2025," it said in a statement.</w:t>
      </w:r>
    </w:p>
    <w:p w14:paraId="7DC375F6" w14:textId="7225542A" w:rsidR="00687770" w:rsidRPr="00687770" w:rsidRDefault="00687770" w:rsidP="00687770">
      <w:pPr>
        <w:pStyle w:val="NormalWeb"/>
        <w:shd w:val="clear" w:color="auto" w:fill="FFFFFF"/>
        <w:spacing w:before="0" w:beforeAutospacing="0" w:after="0" w:afterAutospacing="0" w:line="420" w:lineRule="atLeast"/>
        <w:jc w:val="both"/>
        <w:rPr>
          <w:rFonts w:ascii="Arial" w:hAnsi="Arial" w:cs="Arial"/>
          <w:color w:val="000000"/>
        </w:rPr>
      </w:pPr>
      <w:r w:rsidRPr="00687770">
        <w:rPr>
          <w:rFonts w:ascii="Arial" w:hAnsi="Arial" w:cs="Arial"/>
          <w:color w:val="000000"/>
        </w:rPr>
        <w:t>The weight of India FAR bonds will be increased in increments of 10% of their full market value every month over the 10-month period ending in October 2025.</w:t>
      </w:r>
    </w:p>
    <w:p w14:paraId="61510C64" w14:textId="74D34EAA" w:rsidR="00CB099C" w:rsidRPr="00CB099C" w:rsidRDefault="00687770" w:rsidP="00CB099C">
      <w:pPr>
        <w:pStyle w:val="NormalWeb"/>
        <w:shd w:val="clear" w:color="auto" w:fill="FFFFFF"/>
        <w:spacing w:before="0" w:beforeAutospacing="0" w:after="0" w:afterAutospacing="0" w:line="420" w:lineRule="atLeast"/>
        <w:rPr>
          <w:rFonts w:ascii="Arial" w:hAnsi="Arial" w:cs="Arial"/>
          <w:color w:val="000000"/>
        </w:rPr>
      </w:pPr>
      <w:r>
        <w:rPr>
          <w:rFonts w:ascii="Arial" w:hAnsi="Arial" w:cs="Arial"/>
          <w:color w:val="000000"/>
        </w:rPr>
        <w:t>4.</w:t>
      </w:r>
      <w:r w:rsidR="00CB099C" w:rsidRPr="00CB099C">
        <w:rPr>
          <w:rStyle w:val="Heading1Char"/>
          <w:rFonts w:ascii="Arial" w:hAnsi="Arial" w:cs="Arial"/>
          <w:color w:val="000000"/>
          <w:sz w:val="27"/>
          <w:szCs w:val="27"/>
          <w:bdr w:val="none" w:sz="0" w:space="0" w:color="auto" w:frame="1"/>
        </w:rPr>
        <w:t xml:space="preserve"> </w:t>
      </w:r>
      <w:r w:rsidR="00CB099C" w:rsidRPr="00CB099C">
        <w:rPr>
          <w:rStyle w:val="Strong"/>
          <w:rFonts w:ascii="Arial" w:hAnsi="Arial" w:cs="Arial"/>
          <w:b w:val="0"/>
          <w:bCs w:val="0"/>
          <w:color w:val="000000"/>
          <w:bdr w:val="none" w:sz="0" w:space="0" w:color="auto" w:frame="1"/>
        </w:rPr>
        <w:t>Bond market growth</w:t>
      </w:r>
      <w:r w:rsidR="00CB099C" w:rsidRPr="00CB099C">
        <w:rPr>
          <w:rStyle w:val="Strong"/>
          <w:rFonts w:ascii="Arial" w:hAnsi="Arial" w:cs="Arial"/>
          <w:color w:val="000000"/>
          <w:bdr w:val="none" w:sz="0" w:space="0" w:color="auto" w:frame="1"/>
        </w:rPr>
        <w:t>:</w:t>
      </w:r>
      <w:r w:rsidR="00CB099C" w:rsidRPr="00CB099C">
        <w:rPr>
          <w:rFonts w:ascii="Arial" w:hAnsi="Arial" w:cs="Arial"/>
          <w:color w:val="000000"/>
        </w:rPr>
        <w:t> As per data from SEBI and CCIL, the aggregate bond market (government plus corporate) stood at </w:t>
      </w:r>
      <w:r w:rsidR="00CB099C" w:rsidRPr="00CB099C">
        <w:rPr>
          <w:rStyle w:val="webrupee"/>
          <w:rFonts w:ascii="Arial" w:hAnsi="Arial" w:cs="Arial"/>
          <w:color w:val="000000"/>
          <w:bdr w:val="none" w:sz="0" w:space="0" w:color="auto" w:frame="1"/>
        </w:rPr>
        <w:t>₹</w:t>
      </w:r>
      <w:r w:rsidR="00CB099C" w:rsidRPr="00CB099C">
        <w:rPr>
          <w:rFonts w:ascii="Arial" w:hAnsi="Arial" w:cs="Arial"/>
          <w:color w:val="000000"/>
        </w:rPr>
        <w:t>133 lakh crore in March’20 which has grown by 58 per cent as of the latest data of Dec’23 to </w:t>
      </w:r>
      <w:r w:rsidR="00CB099C" w:rsidRPr="00CB099C">
        <w:rPr>
          <w:rStyle w:val="webrupee"/>
          <w:rFonts w:ascii="Arial" w:hAnsi="Arial" w:cs="Arial"/>
          <w:color w:val="000000"/>
          <w:bdr w:val="none" w:sz="0" w:space="0" w:color="auto" w:frame="1"/>
        </w:rPr>
        <w:t>₹</w:t>
      </w:r>
      <w:r w:rsidR="00CB099C" w:rsidRPr="00CB099C">
        <w:rPr>
          <w:rFonts w:ascii="Arial" w:hAnsi="Arial" w:cs="Arial"/>
          <w:color w:val="000000"/>
        </w:rPr>
        <w:t>209 lakh crore. This is roughly $925 billion at current US dollar/INR exchange rates.</w:t>
      </w:r>
    </w:p>
    <w:p w14:paraId="039745B7" w14:textId="2DFB4E6B" w:rsidR="00CB099C" w:rsidRPr="00CB099C" w:rsidRDefault="00CB099C" w:rsidP="00CB099C">
      <w:pPr>
        <w:pStyle w:val="NormalWeb"/>
        <w:shd w:val="clear" w:color="auto" w:fill="FFFFFF"/>
        <w:spacing w:before="0" w:beforeAutospacing="0" w:after="0" w:afterAutospacing="0" w:line="420" w:lineRule="atLeast"/>
        <w:rPr>
          <w:rFonts w:ascii="Arial" w:hAnsi="Arial" w:cs="Arial"/>
          <w:color w:val="000000"/>
        </w:rPr>
      </w:pPr>
      <w:r w:rsidRPr="00CB099C">
        <w:rPr>
          <w:rStyle w:val="Strong"/>
          <w:rFonts w:ascii="Arial" w:hAnsi="Arial" w:cs="Arial"/>
          <w:b w:val="0"/>
          <w:bCs w:val="0"/>
          <w:color w:val="000000"/>
          <w:bdr w:val="none" w:sz="0" w:space="0" w:color="auto" w:frame="1"/>
        </w:rPr>
        <w:t>5. Rise of OBPPs (online bond platform providers):</w:t>
      </w:r>
      <w:r w:rsidRPr="00CB099C">
        <w:rPr>
          <w:rFonts w:ascii="Arial" w:hAnsi="Arial" w:cs="Arial"/>
          <w:color w:val="000000"/>
        </w:rPr>
        <w:t> Technology-enabled online websites came about three to four years back selling bonds to individual investors. SEBI regulation in Nov’22 provided a framework to grow this market in a safe and regulated environment with investor protection in mind. This has spurred retail participation in bonds and we predict a dramatic rise in bond investments by non-institutions in the coming years.</w:t>
      </w:r>
    </w:p>
    <w:p w14:paraId="1751BE6D" w14:textId="1AE2A47B" w:rsidR="00CB099C" w:rsidRDefault="00CB099C" w:rsidP="00CB099C">
      <w:pPr>
        <w:pStyle w:val="NormalWeb"/>
        <w:shd w:val="clear" w:color="auto" w:fill="FFFFFF"/>
        <w:spacing w:before="0" w:beforeAutospacing="0" w:after="0" w:afterAutospacing="0" w:line="420" w:lineRule="atLeast"/>
        <w:jc w:val="both"/>
        <w:rPr>
          <w:rFonts w:ascii="Arial" w:hAnsi="Arial" w:cs="Arial"/>
          <w:color w:val="000000"/>
        </w:rPr>
      </w:pPr>
      <w:r>
        <w:rPr>
          <w:rFonts w:ascii="Arial" w:hAnsi="Arial" w:cs="Arial"/>
          <w:color w:val="000000"/>
        </w:rPr>
        <w:t>6.</w:t>
      </w:r>
      <w:r w:rsidRPr="00CB099C">
        <w:rPr>
          <w:rStyle w:val="Heading1Char"/>
          <w:rFonts w:ascii="Arial" w:hAnsi="Arial" w:cs="Arial"/>
          <w:color w:val="000000"/>
          <w:sz w:val="27"/>
          <w:szCs w:val="27"/>
          <w:bdr w:val="none" w:sz="0" w:space="0" w:color="auto" w:frame="1"/>
        </w:rPr>
        <w:t xml:space="preserve"> </w:t>
      </w:r>
      <w:r w:rsidRPr="00CB099C">
        <w:rPr>
          <w:rStyle w:val="Strong"/>
          <w:rFonts w:ascii="Arial" w:hAnsi="Arial" w:cs="Arial"/>
          <w:b w:val="0"/>
          <w:bCs w:val="0"/>
          <w:color w:val="000000"/>
          <w:bdr w:val="none" w:sz="0" w:space="0" w:color="auto" w:frame="1"/>
        </w:rPr>
        <w:t>Rise of private credit</w:t>
      </w:r>
      <w:r w:rsidRPr="00CB099C">
        <w:rPr>
          <w:rStyle w:val="Strong"/>
          <w:rFonts w:ascii="Arial" w:hAnsi="Arial" w:cs="Arial"/>
          <w:color w:val="000000"/>
          <w:bdr w:val="none" w:sz="0" w:space="0" w:color="auto" w:frame="1"/>
        </w:rPr>
        <w:t>: </w:t>
      </w:r>
      <w:r w:rsidRPr="00CB099C">
        <w:rPr>
          <w:rFonts w:ascii="Arial" w:hAnsi="Arial" w:cs="Arial"/>
          <w:color w:val="000000"/>
        </w:rPr>
        <w:t xml:space="preserve">An important sub-asset class which has seen tremendous growth has been private credit in India by domestic/foreign institutions via the popular </w:t>
      </w:r>
      <w:proofErr w:type="spellStart"/>
      <w:r w:rsidRPr="00CB099C">
        <w:rPr>
          <w:rFonts w:ascii="Arial" w:hAnsi="Arial" w:cs="Arial"/>
          <w:color w:val="000000"/>
        </w:rPr>
        <w:t>AlF</w:t>
      </w:r>
      <w:proofErr w:type="spellEnd"/>
      <w:r w:rsidRPr="00CB099C">
        <w:rPr>
          <w:rFonts w:ascii="Arial" w:hAnsi="Arial" w:cs="Arial"/>
          <w:color w:val="000000"/>
        </w:rPr>
        <w:t xml:space="preserve"> (Alternative Investment Fund) route. We envisage that corporates will raise more capital via the public issue of bonds or private credit and away from just traditional banking channels.</w:t>
      </w:r>
    </w:p>
    <w:p w14:paraId="6226F587" w14:textId="478F0A05" w:rsidR="00CB099C" w:rsidRDefault="00CB099C" w:rsidP="00CB099C">
      <w:pPr>
        <w:pStyle w:val="NormalWeb"/>
        <w:shd w:val="clear" w:color="auto" w:fill="FFFFFF"/>
        <w:spacing w:before="0" w:beforeAutospacing="0" w:after="0" w:afterAutospacing="0" w:line="420" w:lineRule="atLeast"/>
        <w:jc w:val="both"/>
        <w:rPr>
          <w:rFonts w:ascii="Arial" w:hAnsi="Arial" w:cs="Arial"/>
          <w:color w:val="000000"/>
        </w:rPr>
      </w:pPr>
      <w:r>
        <w:rPr>
          <w:rFonts w:ascii="Arial" w:hAnsi="Arial" w:cs="Arial"/>
          <w:color w:val="000000"/>
        </w:rPr>
        <w:t xml:space="preserve">7.RBI issued 40 year old bonds in June </w:t>
      </w:r>
      <w:proofErr w:type="gramStart"/>
      <w:r>
        <w:rPr>
          <w:rFonts w:ascii="Arial" w:hAnsi="Arial" w:cs="Arial"/>
          <w:color w:val="000000"/>
        </w:rPr>
        <w:t>2023 :</w:t>
      </w:r>
      <w:proofErr w:type="gramEnd"/>
      <w:r>
        <w:rPr>
          <w:rFonts w:ascii="Arial" w:hAnsi="Arial" w:cs="Arial"/>
          <w:color w:val="000000"/>
        </w:rPr>
        <w:t xml:space="preserve"> 7.26% GOI bonds expiring on 12</w:t>
      </w:r>
      <w:r w:rsidRPr="00CB099C">
        <w:rPr>
          <w:rFonts w:ascii="Arial" w:hAnsi="Arial" w:cs="Arial"/>
          <w:color w:val="000000"/>
          <w:vertAlign w:val="superscript"/>
        </w:rPr>
        <w:t>th</w:t>
      </w:r>
      <w:r>
        <w:rPr>
          <w:rFonts w:ascii="Arial" w:hAnsi="Arial" w:cs="Arial"/>
          <w:color w:val="000000"/>
        </w:rPr>
        <w:t xml:space="preserve"> June 2063</w:t>
      </w:r>
    </w:p>
    <w:p w14:paraId="04EF226F" w14:textId="3505E1D6" w:rsidR="002733AC" w:rsidRDefault="002733AC" w:rsidP="00382393">
      <w:pPr>
        <w:pStyle w:val="NormalWeb"/>
        <w:shd w:val="clear" w:color="auto" w:fill="FFFFFF"/>
        <w:spacing w:before="0" w:beforeAutospacing="0" w:after="0" w:afterAutospacing="0" w:line="390" w:lineRule="atLeast"/>
        <w:jc w:val="both"/>
        <w:rPr>
          <w:rFonts w:ascii="Arial" w:hAnsi="Arial" w:cs="Arial"/>
          <w:color w:val="000000"/>
        </w:rPr>
      </w:pPr>
      <w:r>
        <w:rPr>
          <w:rFonts w:ascii="Arial" w:hAnsi="Arial" w:cs="Arial"/>
          <w:color w:val="000000"/>
        </w:rPr>
        <w:t>8.</w:t>
      </w:r>
      <w:r w:rsidRPr="002733AC">
        <w:rPr>
          <w:rFonts w:ascii="Regular" w:hAnsi="Regular"/>
          <w:color w:val="000000"/>
          <w:sz w:val="29"/>
          <w:szCs w:val="29"/>
        </w:rPr>
        <w:t xml:space="preserve"> </w:t>
      </w:r>
      <w:r w:rsidRPr="002733AC">
        <w:rPr>
          <w:rFonts w:ascii="Arial" w:hAnsi="Arial" w:cs="Arial"/>
          <w:color w:val="000000"/>
        </w:rPr>
        <w:t>The government has announced its FY25 borrowing programme on April 5 by auctioning three dated securities, including a new 10-year government security (G-Sec) for raising ₹38,000 crore even as RBI said all G-Sec auctions will be conducted using multiple price auction method.</w:t>
      </w:r>
    </w:p>
    <w:p w14:paraId="49FA46FC" w14:textId="221E1ED0" w:rsidR="00382393" w:rsidRPr="000315B6" w:rsidRDefault="00382393" w:rsidP="000315B6">
      <w:pPr>
        <w:rPr>
          <w:rFonts w:ascii="Arial" w:hAnsi="Arial" w:cs="Arial"/>
          <w:color w:val="000000"/>
          <w:sz w:val="24"/>
          <w:szCs w:val="24"/>
        </w:rPr>
      </w:pPr>
      <w:r>
        <w:rPr>
          <w:rFonts w:ascii="Arial" w:hAnsi="Arial" w:cs="Arial"/>
          <w:color w:val="000000"/>
        </w:rPr>
        <w:t>9.</w:t>
      </w:r>
      <w:r w:rsidRPr="000315B6">
        <w:rPr>
          <w:rFonts w:ascii="Arial" w:hAnsi="Arial" w:cs="Arial"/>
          <w:color w:val="000000"/>
          <w:sz w:val="24"/>
          <w:szCs w:val="24"/>
        </w:rPr>
        <w:t xml:space="preserve"> </w:t>
      </w:r>
      <w:r w:rsidR="000315B6" w:rsidRPr="000315B6">
        <w:rPr>
          <w:rFonts w:ascii="Arial" w:hAnsi="Arial" w:cs="Arial"/>
          <w:color w:val="000000"/>
          <w:sz w:val="24"/>
          <w:szCs w:val="24"/>
          <w:shd w:val="clear" w:color="auto" w:fill="FFFFFF"/>
        </w:rPr>
        <w:t xml:space="preserve">The government sold 100 billion rupees ($1.2 billion) of the 2073 bond at a cutoff yield of 7.46%, the Reserve Bank of India said in a statement. </w:t>
      </w:r>
      <w:proofErr w:type="gramStart"/>
      <w:r w:rsidR="000315B6" w:rsidRPr="000315B6">
        <w:rPr>
          <w:rFonts w:ascii="Arial" w:hAnsi="Arial" w:cs="Arial"/>
          <w:color w:val="000000"/>
          <w:sz w:val="24"/>
          <w:szCs w:val="24"/>
          <w:shd w:val="clear" w:color="auto" w:fill="FFFFFF"/>
        </w:rPr>
        <w:t>That’s</w:t>
      </w:r>
      <w:proofErr w:type="gramEnd"/>
      <w:r w:rsidR="000315B6" w:rsidRPr="000315B6">
        <w:rPr>
          <w:rFonts w:ascii="Arial" w:hAnsi="Arial" w:cs="Arial"/>
          <w:color w:val="000000"/>
          <w:sz w:val="24"/>
          <w:szCs w:val="24"/>
          <w:shd w:val="clear" w:color="auto" w:fill="FFFFFF"/>
        </w:rPr>
        <w:t xml:space="preserve"> lower than the 7.48% forecast in a Bloomberg survey. India’s auction of the debut 50-year bond met with firm demand Friday, underscoring growing interest from insurance and pension funds for ultra-long papers.</w:t>
      </w:r>
    </w:p>
    <w:p w14:paraId="34BA7913" w14:textId="77777777" w:rsidR="002733AC" w:rsidRDefault="002733AC" w:rsidP="002733AC">
      <w:pPr>
        <w:pStyle w:val="NormalWeb"/>
        <w:shd w:val="clear" w:color="auto" w:fill="FFFFFF"/>
        <w:spacing w:before="0" w:beforeAutospacing="0" w:line="390" w:lineRule="atLeast"/>
        <w:jc w:val="both"/>
        <w:rPr>
          <w:rFonts w:ascii="Arial" w:hAnsi="Arial" w:cs="Arial"/>
          <w:color w:val="000000"/>
        </w:rPr>
      </w:pPr>
    </w:p>
    <w:p w14:paraId="11AA8F91" w14:textId="798122DC" w:rsidR="000315B6" w:rsidRPr="001702B0" w:rsidRDefault="000315B6" w:rsidP="001702B0">
      <w:pPr>
        <w:pStyle w:val="NormalWeb"/>
        <w:shd w:val="clear" w:color="auto" w:fill="FFFFFF"/>
        <w:spacing w:before="0" w:beforeAutospacing="0" w:line="390" w:lineRule="atLeast"/>
        <w:ind w:firstLine="720"/>
        <w:jc w:val="both"/>
        <w:rPr>
          <w:rFonts w:ascii="Arial" w:hAnsi="Arial" w:cs="Arial"/>
          <w:b/>
          <w:bCs/>
          <w:color w:val="000000"/>
        </w:rPr>
      </w:pPr>
      <w:r w:rsidRPr="001702B0">
        <w:rPr>
          <w:rFonts w:ascii="Arial" w:hAnsi="Arial" w:cs="Arial"/>
          <w:b/>
          <w:bCs/>
          <w:color w:val="000000"/>
        </w:rPr>
        <w:lastRenderedPageBreak/>
        <w:t>RBI policy decisions and their impact on fixed income markets</w:t>
      </w:r>
    </w:p>
    <w:p w14:paraId="2ED518F4" w14:textId="0A3D2F07" w:rsidR="000315B6" w:rsidRDefault="000315B6" w:rsidP="002273DD">
      <w:pPr>
        <w:spacing w:after="0" w:line="240" w:lineRule="auto"/>
        <w:jc w:val="both"/>
        <w:rPr>
          <w:rFonts w:ascii="Arial" w:eastAsia="Times New Roman" w:hAnsi="Arial" w:cs="Arial"/>
          <w:color w:val="000000"/>
          <w:kern w:val="0"/>
          <w:sz w:val="24"/>
          <w:szCs w:val="24"/>
          <w:lang w:eastAsia="en-IN"/>
          <w14:ligatures w14:val="none"/>
        </w:rPr>
      </w:pPr>
      <w:r w:rsidRPr="000315B6">
        <w:rPr>
          <w:rFonts w:ascii="Arial" w:hAnsi="Arial" w:cs="Arial"/>
          <w:color w:val="000000"/>
          <w:sz w:val="24"/>
          <w:szCs w:val="24"/>
        </w:rPr>
        <w:t xml:space="preserve">Bond yields are closely tied to interest rates set by the RBI. As the policy rates change, the yields on government bonds (G-secs) and corporate bonds also change in tandem. When policy rates decrease, bond yields tend to decline. Conversely, when policy rates increase, bond yields rise, leading to lower bond prices. </w:t>
      </w:r>
      <w:r w:rsidRPr="000315B6">
        <w:rPr>
          <w:rFonts w:ascii="Arial" w:eastAsia="Times New Roman" w:hAnsi="Arial" w:cs="Arial"/>
          <w:color w:val="000000"/>
          <w:kern w:val="0"/>
          <w:sz w:val="24"/>
          <w:szCs w:val="24"/>
          <w:lang w:eastAsia="en-IN"/>
          <w14:ligatures w14:val="none"/>
        </w:rPr>
        <w:t>When the RBI cuts the policy rates, for example, the repo rate, the market value of fixed income instruments</w:t>
      </w:r>
      <w:r>
        <w:rPr>
          <w:rFonts w:ascii="Arial" w:eastAsia="Times New Roman" w:hAnsi="Arial" w:cs="Arial"/>
          <w:color w:val="000000"/>
          <w:kern w:val="0"/>
          <w:sz w:val="24"/>
          <w:szCs w:val="24"/>
          <w:lang w:eastAsia="en-IN"/>
          <w14:ligatures w14:val="none"/>
        </w:rPr>
        <w:t xml:space="preserve"> </w:t>
      </w:r>
      <w:r w:rsidRPr="000315B6">
        <w:rPr>
          <w:rFonts w:ascii="Arial" w:eastAsia="Times New Roman" w:hAnsi="Arial" w:cs="Arial"/>
          <w:color w:val="000000"/>
          <w:kern w:val="0"/>
          <w:sz w:val="24"/>
          <w:szCs w:val="24"/>
          <w:lang w:eastAsia="en-IN"/>
          <w14:ligatures w14:val="none"/>
        </w:rPr>
        <w:t>tends to rise.</w:t>
      </w:r>
    </w:p>
    <w:p w14:paraId="3F43A442" w14:textId="77777777" w:rsidR="000315B6" w:rsidRDefault="000315B6" w:rsidP="002273DD">
      <w:pPr>
        <w:spacing w:after="0" w:line="240" w:lineRule="auto"/>
        <w:jc w:val="both"/>
        <w:rPr>
          <w:rFonts w:ascii="Arial" w:eastAsia="Times New Roman" w:hAnsi="Arial" w:cs="Arial"/>
          <w:color w:val="000000"/>
          <w:kern w:val="0"/>
          <w:sz w:val="24"/>
          <w:szCs w:val="24"/>
          <w:lang w:eastAsia="en-IN"/>
          <w14:ligatures w14:val="none"/>
        </w:rPr>
      </w:pPr>
    </w:p>
    <w:p w14:paraId="5FC43D0D" w14:textId="77777777" w:rsidR="002273DD" w:rsidRDefault="00020954" w:rsidP="002273DD">
      <w:pPr>
        <w:spacing w:after="0" w:line="240" w:lineRule="auto"/>
        <w:jc w:val="both"/>
        <w:rPr>
          <w:rFonts w:ascii="Arial" w:hAnsi="Arial" w:cs="Arial"/>
          <w:color w:val="000000"/>
          <w:sz w:val="24"/>
          <w:szCs w:val="24"/>
          <w:shd w:val="clear" w:color="auto" w:fill="FFFFFF"/>
        </w:rPr>
      </w:pPr>
      <w:r w:rsidRPr="00020954">
        <w:rPr>
          <w:rFonts w:ascii="Arial" w:hAnsi="Arial" w:cs="Arial"/>
          <w:color w:val="000000"/>
          <w:sz w:val="24"/>
          <w:szCs w:val="24"/>
          <w:shd w:val="clear" w:color="auto" w:fill="FFFFFF"/>
        </w:rPr>
        <w:t xml:space="preserve">The Reserve Bank’s role as the debt manager and the banker to the government was tested to the hilt in 2020, marked by the highest ever level of market borrowing. </w:t>
      </w:r>
      <w:r>
        <w:rPr>
          <w:rFonts w:ascii="Arial" w:hAnsi="Arial" w:cs="Arial"/>
          <w:color w:val="000000"/>
          <w:sz w:val="24"/>
          <w:szCs w:val="24"/>
          <w:shd w:val="clear" w:color="auto" w:fill="FFFFFF"/>
        </w:rPr>
        <w:t>Its</w:t>
      </w:r>
      <w:r w:rsidRPr="00020954">
        <w:rPr>
          <w:rFonts w:ascii="Arial" w:hAnsi="Arial" w:cs="Arial"/>
          <w:color w:val="000000"/>
          <w:sz w:val="24"/>
          <w:szCs w:val="24"/>
          <w:shd w:val="clear" w:color="auto" w:fill="FFFFFF"/>
        </w:rPr>
        <w:t xml:space="preserve"> policies have resulted in the lowest weighted average cost of borrowing in 16 years and the highest weighted average maturity of the stock of public debt on record. </w:t>
      </w:r>
    </w:p>
    <w:p w14:paraId="37D8DC1F" w14:textId="77777777" w:rsidR="002273DD" w:rsidRDefault="002273DD" w:rsidP="002273DD">
      <w:pPr>
        <w:spacing w:after="0" w:line="240" w:lineRule="auto"/>
        <w:jc w:val="both"/>
        <w:rPr>
          <w:rFonts w:ascii="Arial" w:hAnsi="Arial" w:cs="Arial"/>
          <w:color w:val="000000"/>
          <w:sz w:val="24"/>
          <w:szCs w:val="24"/>
          <w:shd w:val="clear" w:color="auto" w:fill="FFFFFF"/>
        </w:rPr>
      </w:pPr>
    </w:p>
    <w:p w14:paraId="4950C03F" w14:textId="0666FBDC" w:rsidR="000315B6" w:rsidRPr="00020954" w:rsidRDefault="00020954" w:rsidP="002273DD">
      <w:pPr>
        <w:spacing w:after="0" w:line="240" w:lineRule="auto"/>
        <w:jc w:val="both"/>
        <w:rPr>
          <w:rFonts w:ascii="Arial" w:hAnsi="Arial" w:cs="Arial"/>
          <w:color w:val="000000"/>
          <w:sz w:val="24"/>
          <w:szCs w:val="24"/>
          <w:shd w:val="clear" w:color="auto" w:fill="FFFFFF"/>
        </w:rPr>
      </w:pPr>
      <w:r w:rsidRPr="00020954">
        <w:rPr>
          <w:rFonts w:ascii="Arial" w:hAnsi="Arial" w:cs="Arial"/>
          <w:color w:val="000000"/>
          <w:sz w:val="24"/>
          <w:szCs w:val="24"/>
          <w:shd w:val="clear" w:color="auto" w:fill="FFFFFF"/>
        </w:rPr>
        <w:t>The weighted borrowing cost for the centre st</w:t>
      </w:r>
      <w:r>
        <w:rPr>
          <w:rFonts w:ascii="Arial" w:hAnsi="Arial" w:cs="Arial"/>
          <w:color w:val="000000"/>
          <w:sz w:val="24"/>
          <w:szCs w:val="24"/>
          <w:shd w:val="clear" w:color="auto" w:fill="FFFFFF"/>
        </w:rPr>
        <w:t>ood after pandemic</w:t>
      </w:r>
      <w:r w:rsidRPr="00020954">
        <w:rPr>
          <w:rFonts w:ascii="Arial" w:hAnsi="Arial" w:cs="Arial"/>
          <w:color w:val="000000"/>
          <w:sz w:val="24"/>
          <w:szCs w:val="24"/>
          <w:shd w:val="clear" w:color="auto" w:fill="FFFFFF"/>
        </w:rPr>
        <w:t xml:space="preserve"> at a new low of 5.82 per cent as on December 1 even with additional borrowings for state governments as against 6.88 per cent during the corresponding period of last year. The government borrowings programme – both centre and the states – has progressed smoothly</w:t>
      </w:r>
      <w:r w:rsidR="002273DD">
        <w:rPr>
          <w:rFonts w:ascii="Arial" w:hAnsi="Arial" w:cs="Arial"/>
          <w:color w:val="000000"/>
          <w:sz w:val="24"/>
          <w:szCs w:val="24"/>
          <w:shd w:val="clear" w:color="auto" w:fill="FFFFFF"/>
        </w:rPr>
        <w:t>.</w:t>
      </w:r>
      <w:r w:rsidRPr="00020954">
        <w:rPr>
          <w:rFonts w:ascii="Arial" w:hAnsi="Arial" w:cs="Arial"/>
          <w:color w:val="000000"/>
          <w:sz w:val="24"/>
          <w:szCs w:val="24"/>
          <w:shd w:val="clear" w:color="auto" w:fill="FFFFFF"/>
        </w:rPr>
        <w:t xml:space="preserve"> </w:t>
      </w:r>
      <w:r w:rsidR="002273DD">
        <w:rPr>
          <w:rFonts w:ascii="Arial" w:hAnsi="Arial" w:cs="Arial"/>
          <w:color w:val="000000"/>
          <w:sz w:val="24"/>
          <w:szCs w:val="24"/>
          <w:shd w:val="clear" w:color="auto" w:fill="FFFFFF"/>
        </w:rPr>
        <w:t>T</w:t>
      </w:r>
      <w:r w:rsidRPr="00020954">
        <w:rPr>
          <w:rFonts w:ascii="Arial" w:hAnsi="Arial" w:cs="Arial"/>
          <w:color w:val="000000"/>
          <w:sz w:val="24"/>
          <w:szCs w:val="24"/>
          <w:shd w:val="clear" w:color="auto" w:fill="FFFFFF"/>
        </w:rPr>
        <w:t xml:space="preserve">he importance of cooperative solutions for orderly market movements. </w:t>
      </w:r>
      <w:r w:rsidR="002273DD">
        <w:rPr>
          <w:rFonts w:ascii="Arial" w:hAnsi="Arial" w:cs="Arial"/>
          <w:color w:val="000000"/>
          <w:sz w:val="24"/>
          <w:szCs w:val="24"/>
          <w:shd w:val="clear" w:color="auto" w:fill="FFFFFF"/>
        </w:rPr>
        <w:t>RBI</w:t>
      </w:r>
      <w:r w:rsidRPr="00020954">
        <w:rPr>
          <w:rFonts w:ascii="Arial" w:hAnsi="Arial" w:cs="Arial"/>
          <w:color w:val="000000"/>
          <w:sz w:val="24"/>
          <w:szCs w:val="24"/>
          <w:shd w:val="clear" w:color="auto" w:fill="FFFFFF"/>
        </w:rPr>
        <w:t xml:space="preserve"> </w:t>
      </w:r>
      <w:r w:rsidR="002273DD">
        <w:rPr>
          <w:rFonts w:ascii="Arial" w:hAnsi="Arial" w:cs="Arial"/>
          <w:color w:val="000000"/>
          <w:sz w:val="24"/>
          <w:szCs w:val="24"/>
          <w:shd w:val="clear" w:color="auto" w:fill="FFFFFF"/>
        </w:rPr>
        <w:t>acted</w:t>
      </w:r>
      <w:r w:rsidRPr="00020954">
        <w:rPr>
          <w:rFonts w:ascii="Arial" w:hAnsi="Arial" w:cs="Arial"/>
          <w:color w:val="000000"/>
          <w:sz w:val="24"/>
          <w:szCs w:val="24"/>
          <w:shd w:val="clear" w:color="auto" w:fill="FFFFFF"/>
        </w:rPr>
        <w:t xml:space="preserve"> to be competitive and not combative.</w:t>
      </w:r>
    </w:p>
    <w:p w14:paraId="3E9A20F6" w14:textId="77777777" w:rsidR="00020954" w:rsidRPr="00020954" w:rsidRDefault="00020954" w:rsidP="002273DD">
      <w:pPr>
        <w:spacing w:after="0" w:line="240" w:lineRule="auto"/>
        <w:jc w:val="both"/>
        <w:rPr>
          <w:rFonts w:ascii="Arial" w:hAnsi="Arial" w:cs="Arial"/>
          <w:color w:val="000000"/>
          <w:sz w:val="24"/>
          <w:szCs w:val="24"/>
          <w:shd w:val="clear" w:color="auto" w:fill="FFFFFF"/>
        </w:rPr>
      </w:pPr>
    </w:p>
    <w:p w14:paraId="36ED5762" w14:textId="77777777" w:rsidR="002273DD" w:rsidRDefault="00020954" w:rsidP="002273DD">
      <w:pPr>
        <w:spacing w:after="0" w:line="240" w:lineRule="auto"/>
        <w:jc w:val="both"/>
        <w:rPr>
          <w:rFonts w:ascii="Arial" w:hAnsi="Arial" w:cs="Arial"/>
          <w:color w:val="000000"/>
          <w:sz w:val="24"/>
          <w:szCs w:val="24"/>
          <w:shd w:val="clear" w:color="auto" w:fill="FFFFFF"/>
        </w:rPr>
      </w:pPr>
      <w:r w:rsidRPr="00020954">
        <w:rPr>
          <w:rFonts w:ascii="Arial" w:hAnsi="Arial" w:cs="Arial"/>
          <w:color w:val="000000"/>
          <w:sz w:val="24"/>
          <w:szCs w:val="24"/>
          <w:shd w:val="clear" w:color="auto" w:fill="FFFFFF"/>
        </w:rPr>
        <w:t xml:space="preserve">The measures taken by the Reserve Bank over the year gone by have also resulted in a significant moderation in the structure of interest rates across the spectrum, narrowing of risk spreads, and a record issuance of corporate bonds. The spread of AAA-rated 3-year corporate bond yields over G-Sec yields of corresponding maturity fell from 60 bps on October 8 to 17 bps on November 27, 2020. </w:t>
      </w:r>
    </w:p>
    <w:p w14:paraId="4D36D2A7" w14:textId="77777777" w:rsidR="002273DD" w:rsidRDefault="002273DD" w:rsidP="002273DD">
      <w:pPr>
        <w:spacing w:after="0" w:line="240" w:lineRule="auto"/>
        <w:jc w:val="both"/>
        <w:rPr>
          <w:rFonts w:ascii="Arial" w:hAnsi="Arial" w:cs="Arial"/>
          <w:color w:val="000000"/>
          <w:sz w:val="24"/>
          <w:szCs w:val="24"/>
          <w:shd w:val="clear" w:color="auto" w:fill="FFFFFF"/>
        </w:rPr>
      </w:pPr>
    </w:p>
    <w:p w14:paraId="20C2D872" w14:textId="77777777" w:rsidR="002273DD" w:rsidRDefault="00020954" w:rsidP="002273DD">
      <w:pPr>
        <w:spacing w:after="0" w:line="240" w:lineRule="auto"/>
        <w:jc w:val="both"/>
        <w:rPr>
          <w:rFonts w:ascii="Arial" w:hAnsi="Arial" w:cs="Arial"/>
          <w:color w:val="000000"/>
          <w:sz w:val="24"/>
          <w:szCs w:val="24"/>
          <w:shd w:val="clear" w:color="auto" w:fill="FFFFFF"/>
        </w:rPr>
      </w:pPr>
      <w:r w:rsidRPr="00020954">
        <w:rPr>
          <w:rFonts w:ascii="Arial" w:hAnsi="Arial" w:cs="Arial"/>
          <w:color w:val="000000"/>
          <w:sz w:val="24"/>
          <w:szCs w:val="24"/>
          <w:shd w:val="clear" w:color="auto" w:fill="FFFFFF"/>
        </w:rPr>
        <w:t xml:space="preserve">The spreads on lower rated corporate bonds also moderated significantly during the same period: by 34 bps each for AA-rated 3-year bonds and BBB- (BBB minus) rated 3-year bonds. The yield on AAA-rated 5-year corporate bonds declined to 5.59 per cent on November 27, 2020 from 5.93 per cent on October 8, 2020. Corporate bond spreads have, in fact, narrowed to pre-pandemic levels across the term structure. </w:t>
      </w:r>
    </w:p>
    <w:p w14:paraId="2070FF76" w14:textId="77777777" w:rsidR="002273DD" w:rsidRDefault="002273DD" w:rsidP="002273DD">
      <w:pPr>
        <w:spacing w:after="0" w:line="240" w:lineRule="auto"/>
        <w:jc w:val="both"/>
        <w:rPr>
          <w:rFonts w:ascii="Arial" w:hAnsi="Arial" w:cs="Arial"/>
          <w:color w:val="000000"/>
          <w:sz w:val="24"/>
          <w:szCs w:val="24"/>
          <w:shd w:val="clear" w:color="auto" w:fill="FFFFFF"/>
        </w:rPr>
      </w:pPr>
    </w:p>
    <w:p w14:paraId="2DE2FE93" w14:textId="6DF66441" w:rsidR="00020954" w:rsidRDefault="00020954" w:rsidP="002273DD">
      <w:pPr>
        <w:spacing w:after="0" w:line="240" w:lineRule="auto"/>
        <w:jc w:val="both"/>
        <w:rPr>
          <w:rFonts w:ascii="Arial" w:hAnsi="Arial" w:cs="Arial"/>
          <w:color w:val="000000"/>
          <w:sz w:val="24"/>
          <w:szCs w:val="24"/>
          <w:shd w:val="clear" w:color="auto" w:fill="FFFFFF"/>
        </w:rPr>
      </w:pPr>
      <w:r w:rsidRPr="00020954">
        <w:rPr>
          <w:rFonts w:ascii="Arial" w:hAnsi="Arial" w:cs="Arial"/>
          <w:color w:val="000000"/>
          <w:sz w:val="24"/>
          <w:szCs w:val="24"/>
          <w:shd w:val="clear" w:color="auto" w:fill="FFFFFF"/>
        </w:rPr>
        <w:t>Financial markets have been working in an orderly fashion. The easing of financing conditions is, in fact, preparing the ground for strengthening the nascent signs of recovery that have become visible in the second half of 2020-21.</w:t>
      </w:r>
    </w:p>
    <w:p w14:paraId="0F956174" w14:textId="77777777" w:rsidR="001515B8" w:rsidRDefault="001515B8" w:rsidP="002273DD">
      <w:pPr>
        <w:spacing w:after="0" w:line="240" w:lineRule="auto"/>
        <w:jc w:val="both"/>
        <w:rPr>
          <w:rFonts w:ascii="Arial" w:hAnsi="Arial" w:cs="Arial"/>
          <w:color w:val="000000"/>
          <w:sz w:val="24"/>
          <w:szCs w:val="24"/>
          <w:shd w:val="clear" w:color="auto" w:fill="FFFFFF"/>
        </w:rPr>
      </w:pPr>
    </w:p>
    <w:p w14:paraId="673F20D6" w14:textId="66F8DBB9" w:rsidR="000315B6" w:rsidRDefault="001515B8" w:rsidP="001515B8">
      <w:pPr>
        <w:spacing w:after="0" w:line="240" w:lineRule="auto"/>
        <w:jc w:val="both"/>
        <w:rPr>
          <w:rFonts w:ascii="Arial" w:hAnsi="Arial" w:cs="Arial"/>
          <w:color w:val="000000"/>
          <w:sz w:val="24"/>
          <w:szCs w:val="24"/>
        </w:rPr>
      </w:pPr>
      <w:r w:rsidRPr="001515B8">
        <w:rPr>
          <w:rFonts w:ascii="Arial" w:hAnsi="Arial" w:cs="Arial"/>
          <w:color w:val="000000"/>
          <w:sz w:val="24"/>
          <w:szCs w:val="24"/>
        </w:rPr>
        <w:t>Since the 2008 Global Crisis, significant attention is paid to central bank communication, especially for countries with an inflation targeting mandate. This column analyses the monetary policy statements of the Reserve Bank of India, which formally adopted inflation targeting in 2016. It finds that the length of statements has dramatically declined, the linguistic complexity has improved, and the content is more focused on inflation topics since the regime change. </w:t>
      </w:r>
    </w:p>
    <w:p w14:paraId="7B2624B0" w14:textId="77777777" w:rsidR="001515B8" w:rsidRPr="00A33215" w:rsidRDefault="001515B8" w:rsidP="001515B8">
      <w:pPr>
        <w:spacing w:after="0" w:line="240" w:lineRule="auto"/>
        <w:jc w:val="both"/>
        <w:rPr>
          <w:rFonts w:ascii="Arial" w:hAnsi="Arial" w:cs="Arial"/>
          <w:color w:val="000000"/>
          <w:sz w:val="24"/>
          <w:szCs w:val="24"/>
        </w:rPr>
      </w:pPr>
    </w:p>
    <w:p w14:paraId="1F543F81" w14:textId="195050D5" w:rsidR="002273DD" w:rsidRPr="00A33215" w:rsidRDefault="00A33215" w:rsidP="00A33215">
      <w:pPr>
        <w:pStyle w:val="NormalWeb"/>
        <w:shd w:val="clear" w:color="auto" w:fill="FFFFFF"/>
        <w:spacing w:before="0" w:beforeAutospacing="0" w:after="0" w:afterAutospacing="0" w:line="390" w:lineRule="atLeast"/>
        <w:jc w:val="both"/>
        <w:rPr>
          <w:rFonts w:ascii="Arial" w:hAnsi="Arial" w:cs="Arial"/>
          <w:color w:val="333333"/>
        </w:rPr>
      </w:pPr>
      <w:r w:rsidRPr="00A33215">
        <w:rPr>
          <w:rFonts w:ascii="Arial" w:hAnsi="Arial" w:cs="Arial"/>
          <w:color w:val="333333"/>
        </w:rPr>
        <w:t>Ten-year government bond yields respond substantially more to information revealed in RBI statements about the future path of monetary policy, rather than to surprise changes in the short-term policy rates.</w:t>
      </w:r>
    </w:p>
    <w:p w14:paraId="227D30A9" w14:textId="160D4F7A" w:rsidR="00A33215" w:rsidRPr="00A33215" w:rsidRDefault="00A33215" w:rsidP="00A33215">
      <w:pPr>
        <w:pStyle w:val="NormalWeb"/>
        <w:shd w:val="clear" w:color="auto" w:fill="FFFFFF"/>
        <w:spacing w:before="0" w:beforeAutospacing="0" w:after="0" w:afterAutospacing="0" w:line="390" w:lineRule="atLeast"/>
        <w:jc w:val="both"/>
        <w:rPr>
          <w:rFonts w:ascii="Arial" w:hAnsi="Arial" w:cs="Arial"/>
          <w:color w:val="333333"/>
        </w:rPr>
      </w:pPr>
      <w:r w:rsidRPr="00A33215">
        <w:rPr>
          <w:rFonts w:ascii="Arial" w:hAnsi="Arial" w:cs="Arial"/>
          <w:color w:val="333333"/>
        </w:rPr>
        <w:lastRenderedPageBreak/>
        <w:t>Most notably the response of bond yields and stock prices to monetary shocks during the tenure of Governor Rajan shows that markets were only paying attention to RBI statements, and were not reacting to policy rate surprises. Under the subsequent MPC regime, bond market stopped responding to information revealed in the monetary policy statements, instead reacting only to surprise changes (or non-changes) in the repo rate.</w:t>
      </w:r>
    </w:p>
    <w:p w14:paraId="1DF1ACF5" w14:textId="6493DB7F" w:rsidR="00A33215" w:rsidRPr="00A33215" w:rsidRDefault="00A33215" w:rsidP="00A33215">
      <w:pPr>
        <w:pStyle w:val="NormalWeb"/>
        <w:spacing w:before="0" w:beforeAutospacing="0" w:after="210" w:afterAutospacing="0" w:line="390" w:lineRule="atLeast"/>
        <w:jc w:val="both"/>
        <w:rPr>
          <w:rFonts w:ascii="Arial" w:hAnsi="Arial" w:cs="Arial"/>
          <w:color w:val="333333"/>
        </w:rPr>
      </w:pPr>
      <w:r>
        <w:rPr>
          <w:rFonts w:ascii="Arial" w:hAnsi="Arial" w:cs="Arial"/>
          <w:color w:val="333333"/>
        </w:rPr>
        <w:t>F</w:t>
      </w:r>
      <w:r w:rsidRPr="00A33215">
        <w:rPr>
          <w:rFonts w:ascii="Arial" w:hAnsi="Arial" w:cs="Arial"/>
          <w:color w:val="333333"/>
        </w:rPr>
        <w:t>inancial markets in India do not react to policy rate changes (or non-changes) if these were expected. Instead, markets react only to the surprise component of the announcements. While the RBI does not give an explicit forward guidance in its statements unlike the US Fed or the ECB, financial markets in India infer substantial information about the future path of the policy rate from the RBI’s official communication. </w:t>
      </w:r>
    </w:p>
    <w:p w14:paraId="5B84FA69" w14:textId="77777777" w:rsidR="00A33215" w:rsidRPr="00A33215" w:rsidRDefault="00A33215" w:rsidP="00A33215">
      <w:pPr>
        <w:pStyle w:val="NormalWeb"/>
        <w:spacing w:before="0" w:beforeAutospacing="0" w:after="210" w:afterAutospacing="0" w:line="390" w:lineRule="atLeast"/>
        <w:jc w:val="both"/>
        <w:rPr>
          <w:rFonts w:ascii="Arial" w:hAnsi="Arial" w:cs="Arial"/>
          <w:color w:val="333333"/>
        </w:rPr>
      </w:pPr>
      <w:r w:rsidRPr="00A33215">
        <w:rPr>
          <w:rFonts w:ascii="Arial" w:hAnsi="Arial" w:cs="Arial"/>
          <w:color w:val="333333"/>
        </w:rPr>
        <w:t xml:space="preserve">The market’s assessment of which </w:t>
      </w:r>
      <w:proofErr w:type="gramStart"/>
      <w:r w:rsidRPr="00A33215">
        <w:rPr>
          <w:rFonts w:ascii="Arial" w:hAnsi="Arial" w:cs="Arial"/>
          <w:color w:val="333333"/>
        </w:rPr>
        <w:t>particular tool</w:t>
      </w:r>
      <w:proofErr w:type="gramEnd"/>
      <w:r w:rsidRPr="00A33215">
        <w:rPr>
          <w:rFonts w:ascii="Arial" w:hAnsi="Arial" w:cs="Arial"/>
          <w:color w:val="333333"/>
        </w:rPr>
        <w:t xml:space="preserve"> (actions or words) is more effective, also changes across governor regimes. For instance, markets seemed to have paid the most attention to RBI statements during the tenure of Governor Rajan and this gets reversed in the subsequent MPC regime. This implies that trying to draw conclusions about the impact of IT on information transmission is potentially incomplete, without considering the forward guidance aspect of monetary policy. </w:t>
      </w:r>
    </w:p>
    <w:p w14:paraId="7E2E2B0F" w14:textId="4AB9CEEE" w:rsidR="00A33215" w:rsidRPr="001702B0" w:rsidRDefault="001702B0" w:rsidP="001702B0">
      <w:pPr>
        <w:pStyle w:val="NormalWeb"/>
        <w:shd w:val="clear" w:color="auto" w:fill="FFFFFF"/>
        <w:spacing w:before="0" w:beforeAutospacing="0" w:after="0" w:afterAutospacing="0" w:line="390" w:lineRule="atLeast"/>
        <w:jc w:val="both"/>
        <w:rPr>
          <w:rFonts w:ascii="Arial" w:hAnsi="Arial" w:cs="Arial"/>
          <w:b/>
          <w:bCs/>
          <w:color w:val="000000"/>
        </w:rPr>
      </w:pPr>
      <w:r>
        <w:rPr>
          <w:rFonts w:ascii="Arial" w:hAnsi="Arial" w:cs="Arial"/>
          <w:b/>
          <w:bCs/>
          <w:color w:val="000000"/>
        </w:rPr>
        <w:t xml:space="preserve">                   </w:t>
      </w:r>
      <w:r w:rsidR="001B424A" w:rsidRPr="001702B0">
        <w:rPr>
          <w:rFonts w:ascii="Arial" w:hAnsi="Arial" w:cs="Arial"/>
          <w:b/>
          <w:bCs/>
          <w:color w:val="000000"/>
        </w:rPr>
        <w:t xml:space="preserve">Currently </w:t>
      </w:r>
      <w:r w:rsidR="00171F26" w:rsidRPr="001702B0">
        <w:rPr>
          <w:rFonts w:ascii="Arial" w:hAnsi="Arial" w:cs="Arial"/>
          <w:b/>
          <w:bCs/>
          <w:color w:val="000000"/>
        </w:rPr>
        <w:t xml:space="preserve">traded fixed </w:t>
      </w:r>
      <w:proofErr w:type="gramStart"/>
      <w:r w:rsidR="00171F26" w:rsidRPr="001702B0">
        <w:rPr>
          <w:rFonts w:ascii="Arial" w:hAnsi="Arial" w:cs="Arial"/>
          <w:b/>
          <w:bCs/>
          <w:color w:val="000000"/>
        </w:rPr>
        <w:t xml:space="preserve">income </w:t>
      </w:r>
      <w:r w:rsidR="001B424A" w:rsidRPr="001702B0">
        <w:rPr>
          <w:rFonts w:ascii="Arial" w:hAnsi="Arial" w:cs="Arial"/>
          <w:b/>
          <w:bCs/>
          <w:color w:val="000000"/>
        </w:rPr>
        <w:t xml:space="preserve"> market</w:t>
      </w:r>
      <w:proofErr w:type="gramEnd"/>
      <w:r w:rsidR="001B424A" w:rsidRPr="001702B0">
        <w:rPr>
          <w:rFonts w:ascii="Arial" w:hAnsi="Arial" w:cs="Arial"/>
          <w:b/>
          <w:bCs/>
          <w:color w:val="000000"/>
        </w:rPr>
        <w:t xml:space="preserve"> instruments</w:t>
      </w:r>
      <w:r w:rsidR="00171F26" w:rsidRPr="001702B0">
        <w:rPr>
          <w:rFonts w:ascii="Arial" w:hAnsi="Arial" w:cs="Arial"/>
          <w:b/>
          <w:bCs/>
          <w:color w:val="000000"/>
        </w:rPr>
        <w:t xml:space="preserve"> (NSE)</w:t>
      </w:r>
    </w:p>
    <w:p w14:paraId="37F880C2" w14:textId="38F75406" w:rsidR="001B424A" w:rsidRDefault="00000000" w:rsidP="002273DD">
      <w:pPr>
        <w:pStyle w:val="NormalWeb"/>
        <w:shd w:val="clear" w:color="auto" w:fill="FFFFFF"/>
        <w:spacing w:before="0" w:beforeAutospacing="0" w:after="0" w:afterAutospacing="0" w:line="390" w:lineRule="atLeast"/>
        <w:jc w:val="both"/>
        <w:rPr>
          <w:rFonts w:ascii="Arial" w:hAnsi="Arial" w:cs="Arial"/>
          <w:color w:val="000000"/>
        </w:rPr>
      </w:pPr>
      <w:hyperlink r:id="rId8" w:history="1">
        <w:r w:rsidR="00171F26" w:rsidRPr="00570611">
          <w:rPr>
            <w:rStyle w:val="Hyperlink"/>
            <w:rFonts w:ascii="Arial" w:hAnsi="Arial" w:cs="Arial"/>
          </w:rPr>
          <w:t>https://www.nseindia.com/market-data/bonds-traded-in-capital-market</w:t>
        </w:r>
      </w:hyperlink>
    </w:p>
    <w:p w14:paraId="342D490E" w14:textId="7D0E53D4" w:rsidR="00171F26" w:rsidRPr="000315B6" w:rsidRDefault="009C1C8E" w:rsidP="002273DD">
      <w:pPr>
        <w:pStyle w:val="NormalWeb"/>
        <w:shd w:val="clear" w:color="auto" w:fill="FFFFFF"/>
        <w:spacing w:before="0" w:beforeAutospacing="0" w:after="0" w:afterAutospacing="0" w:line="390" w:lineRule="atLeast"/>
        <w:jc w:val="both"/>
        <w:rPr>
          <w:rFonts w:ascii="Arial" w:hAnsi="Arial" w:cs="Arial"/>
          <w:color w:val="000000"/>
        </w:rPr>
      </w:pPr>
      <w:r>
        <w:rPr>
          <w:rFonts w:ascii="Arial" w:hAnsi="Arial" w:cs="Arial"/>
          <w:color w:val="000000"/>
        </w:rPr>
        <w:t xml:space="preserve">                   </w:t>
      </w:r>
    </w:p>
    <w:p w14:paraId="4E5043A8" w14:textId="6508BC9C" w:rsidR="002733AC" w:rsidRPr="002733AC" w:rsidRDefault="002733AC" w:rsidP="002273DD">
      <w:pPr>
        <w:pStyle w:val="NormalWeb"/>
        <w:shd w:val="clear" w:color="auto" w:fill="FFFFFF"/>
        <w:spacing w:before="0" w:beforeAutospacing="0" w:after="0" w:afterAutospacing="0" w:line="420" w:lineRule="atLeast"/>
        <w:jc w:val="both"/>
        <w:rPr>
          <w:rFonts w:ascii="Arial" w:hAnsi="Arial" w:cs="Arial"/>
          <w:color w:val="000000"/>
        </w:rPr>
      </w:pPr>
    </w:p>
    <w:p w14:paraId="570481F0" w14:textId="36031020" w:rsidR="00687770" w:rsidRPr="00CB099C" w:rsidRDefault="00687770" w:rsidP="002273DD">
      <w:pPr>
        <w:pStyle w:val="NormalWeb"/>
        <w:shd w:val="clear" w:color="auto" w:fill="FFFFFF"/>
        <w:spacing w:before="0" w:beforeAutospacing="0" w:after="0" w:afterAutospacing="0" w:line="420" w:lineRule="atLeast"/>
        <w:jc w:val="both"/>
        <w:rPr>
          <w:rFonts w:ascii="Arial" w:hAnsi="Arial" w:cs="Arial"/>
          <w:color w:val="000000"/>
        </w:rPr>
      </w:pPr>
    </w:p>
    <w:p w14:paraId="58AFAC64" w14:textId="6CF2E992" w:rsidR="00687770" w:rsidRPr="00687770" w:rsidRDefault="00687770" w:rsidP="002273DD">
      <w:pPr>
        <w:spacing w:after="0"/>
        <w:jc w:val="both"/>
        <w:rPr>
          <w:rFonts w:ascii="Arial" w:hAnsi="Arial" w:cs="Arial"/>
          <w:lang w:val="en-US"/>
        </w:rPr>
      </w:pPr>
    </w:p>
    <w:sectPr w:rsidR="00687770" w:rsidRPr="006877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Roboto">
    <w:charset w:val="00"/>
    <w:family w:val="auto"/>
    <w:pitch w:val="variable"/>
    <w:sig w:usb0="E0000AFF" w:usb1="5000217F" w:usb2="00000021" w:usb3="00000000" w:csb0="0000019F" w:csb1="00000000"/>
  </w:font>
  <w:font w:name="Regular">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3135E"/>
    <w:multiLevelType w:val="multilevel"/>
    <w:tmpl w:val="802A57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399426D"/>
    <w:multiLevelType w:val="hybridMultilevel"/>
    <w:tmpl w:val="1C5A279C"/>
    <w:lvl w:ilvl="0" w:tplc="EBC468AA">
      <w:start w:val="1"/>
      <w:numFmt w:val="bullet"/>
      <w:lvlText w:val=""/>
      <w:lvlJc w:val="left"/>
      <w:pPr>
        <w:tabs>
          <w:tab w:val="num" w:pos="720"/>
        </w:tabs>
        <w:ind w:left="720" w:hanging="360"/>
      </w:pPr>
      <w:rPr>
        <w:rFonts w:ascii="Wingdings 3" w:hAnsi="Wingdings 3" w:hint="default"/>
      </w:rPr>
    </w:lvl>
    <w:lvl w:ilvl="1" w:tplc="C622C2EA" w:tentative="1">
      <w:start w:val="1"/>
      <w:numFmt w:val="bullet"/>
      <w:lvlText w:val=""/>
      <w:lvlJc w:val="left"/>
      <w:pPr>
        <w:tabs>
          <w:tab w:val="num" w:pos="1440"/>
        </w:tabs>
        <w:ind w:left="1440" w:hanging="360"/>
      </w:pPr>
      <w:rPr>
        <w:rFonts w:ascii="Wingdings 3" w:hAnsi="Wingdings 3" w:hint="default"/>
      </w:rPr>
    </w:lvl>
    <w:lvl w:ilvl="2" w:tplc="01A0C17A" w:tentative="1">
      <w:start w:val="1"/>
      <w:numFmt w:val="bullet"/>
      <w:lvlText w:val=""/>
      <w:lvlJc w:val="left"/>
      <w:pPr>
        <w:tabs>
          <w:tab w:val="num" w:pos="2160"/>
        </w:tabs>
        <w:ind w:left="2160" w:hanging="360"/>
      </w:pPr>
      <w:rPr>
        <w:rFonts w:ascii="Wingdings 3" w:hAnsi="Wingdings 3" w:hint="default"/>
      </w:rPr>
    </w:lvl>
    <w:lvl w:ilvl="3" w:tplc="E1DAE6EC" w:tentative="1">
      <w:start w:val="1"/>
      <w:numFmt w:val="bullet"/>
      <w:lvlText w:val=""/>
      <w:lvlJc w:val="left"/>
      <w:pPr>
        <w:tabs>
          <w:tab w:val="num" w:pos="2880"/>
        </w:tabs>
        <w:ind w:left="2880" w:hanging="360"/>
      </w:pPr>
      <w:rPr>
        <w:rFonts w:ascii="Wingdings 3" w:hAnsi="Wingdings 3" w:hint="default"/>
      </w:rPr>
    </w:lvl>
    <w:lvl w:ilvl="4" w:tplc="A26A3536" w:tentative="1">
      <w:start w:val="1"/>
      <w:numFmt w:val="bullet"/>
      <w:lvlText w:val=""/>
      <w:lvlJc w:val="left"/>
      <w:pPr>
        <w:tabs>
          <w:tab w:val="num" w:pos="3600"/>
        </w:tabs>
        <w:ind w:left="3600" w:hanging="360"/>
      </w:pPr>
      <w:rPr>
        <w:rFonts w:ascii="Wingdings 3" w:hAnsi="Wingdings 3" w:hint="default"/>
      </w:rPr>
    </w:lvl>
    <w:lvl w:ilvl="5" w:tplc="E98AF936" w:tentative="1">
      <w:start w:val="1"/>
      <w:numFmt w:val="bullet"/>
      <w:lvlText w:val=""/>
      <w:lvlJc w:val="left"/>
      <w:pPr>
        <w:tabs>
          <w:tab w:val="num" w:pos="4320"/>
        </w:tabs>
        <w:ind w:left="4320" w:hanging="360"/>
      </w:pPr>
      <w:rPr>
        <w:rFonts w:ascii="Wingdings 3" w:hAnsi="Wingdings 3" w:hint="default"/>
      </w:rPr>
    </w:lvl>
    <w:lvl w:ilvl="6" w:tplc="11380CFA" w:tentative="1">
      <w:start w:val="1"/>
      <w:numFmt w:val="bullet"/>
      <w:lvlText w:val=""/>
      <w:lvlJc w:val="left"/>
      <w:pPr>
        <w:tabs>
          <w:tab w:val="num" w:pos="5040"/>
        </w:tabs>
        <w:ind w:left="5040" w:hanging="360"/>
      </w:pPr>
      <w:rPr>
        <w:rFonts w:ascii="Wingdings 3" w:hAnsi="Wingdings 3" w:hint="default"/>
      </w:rPr>
    </w:lvl>
    <w:lvl w:ilvl="7" w:tplc="2F206C92" w:tentative="1">
      <w:start w:val="1"/>
      <w:numFmt w:val="bullet"/>
      <w:lvlText w:val=""/>
      <w:lvlJc w:val="left"/>
      <w:pPr>
        <w:tabs>
          <w:tab w:val="num" w:pos="5760"/>
        </w:tabs>
        <w:ind w:left="5760" w:hanging="360"/>
      </w:pPr>
      <w:rPr>
        <w:rFonts w:ascii="Wingdings 3" w:hAnsi="Wingdings 3" w:hint="default"/>
      </w:rPr>
    </w:lvl>
    <w:lvl w:ilvl="8" w:tplc="97C4E1AA"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04125E1D"/>
    <w:multiLevelType w:val="multilevel"/>
    <w:tmpl w:val="A23C5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4734AB"/>
    <w:multiLevelType w:val="hybridMultilevel"/>
    <w:tmpl w:val="9D6A681E"/>
    <w:lvl w:ilvl="0" w:tplc="CAD61D3C">
      <w:start w:val="1"/>
      <w:numFmt w:val="bullet"/>
      <w:lvlText w:val=""/>
      <w:lvlJc w:val="left"/>
      <w:pPr>
        <w:tabs>
          <w:tab w:val="num" w:pos="720"/>
        </w:tabs>
        <w:ind w:left="720" w:hanging="360"/>
      </w:pPr>
      <w:rPr>
        <w:rFonts w:ascii="Wingdings 3" w:hAnsi="Wingdings 3" w:hint="default"/>
      </w:rPr>
    </w:lvl>
    <w:lvl w:ilvl="1" w:tplc="D3F63886" w:tentative="1">
      <w:start w:val="1"/>
      <w:numFmt w:val="bullet"/>
      <w:lvlText w:val=""/>
      <w:lvlJc w:val="left"/>
      <w:pPr>
        <w:tabs>
          <w:tab w:val="num" w:pos="1440"/>
        </w:tabs>
        <w:ind w:left="1440" w:hanging="360"/>
      </w:pPr>
      <w:rPr>
        <w:rFonts w:ascii="Wingdings 3" w:hAnsi="Wingdings 3" w:hint="default"/>
      </w:rPr>
    </w:lvl>
    <w:lvl w:ilvl="2" w:tplc="DD62AA38" w:tentative="1">
      <w:start w:val="1"/>
      <w:numFmt w:val="bullet"/>
      <w:lvlText w:val=""/>
      <w:lvlJc w:val="left"/>
      <w:pPr>
        <w:tabs>
          <w:tab w:val="num" w:pos="2160"/>
        </w:tabs>
        <w:ind w:left="2160" w:hanging="360"/>
      </w:pPr>
      <w:rPr>
        <w:rFonts w:ascii="Wingdings 3" w:hAnsi="Wingdings 3" w:hint="default"/>
      </w:rPr>
    </w:lvl>
    <w:lvl w:ilvl="3" w:tplc="AA921BDC" w:tentative="1">
      <w:start w:val="1"/>
      <w:numFmt w:val="bullet"/>
      <w:lvlText w:val=""/>
      <w:lvlJc w:val="left"/>
      <w:pPr>
        <w:tabs>
          <w:tab w:val="num" w:pos="2880"/>
        </w:tabs>
        <w:ind w:left="2880" w:hanging="360"/>
      </w:pPr>
      <w:rPr>
        <w:rFonts w:ascii="Wingdings 3" w:hAnsi="Wingdings 3" w:hint="default"/>
      </w:rPr>
    </w:lvl>
    <w:lvl w:ilvl="4" w:tplc="2F900B84" w:tentative="1">
      <w:start w:val="1"/>
      <w:numFmt w:val="bullet"/>
      <w:lvlText w:val=""/>
      <w:lvlJc w:val="left"/>
      <w:pPr>
        <w:tabs>
          <w:tab w:val="num" w:pos="3600"/>
        </w:tabs>
        <w:ind w:left="3600" w:hanging="360"/>
      </w:pPr>
      <w:rPr>
        <w:rFonts w:ascii="Wingdings 3" w:hAnsi="Wingdings 3" w:hint="default"/>
      </w:rPr>
    </w:lvl>
    <w:lvl w:ilvl="5" w:tplc="18D4EDC6" w:tentative="1">
      <w:start w:val="1"/>
      <w:numFmt w:val="bullet"/>
      <w:lvlText w:val=""/>
      <w:lvlJc w:val="left"/>
      <w:pPr>
        <w:tabs>
          <w:tab w:val="num" w:pos="4320"/>
        </w:tabs>
        <w:ind w:left="4320" w:hanging="360"/>
      </w:pPr>
      <w:rPr>
        <w:rFonts w:ascii="Wingdings 3" w:hAnsi="Wingdings 3" w:hint="default"/>
      </w:rPr>
    </w:lvl>
    <w:lvl w:ilvl="6" w:tplc="64E40810" w:tentative="1">
      <w:start w:val="1"/>
      <w:numFmt w:val="bullet"/>
      <w:lvlText w:val=""/>
      <w:lvlJc w:val="left"/>
      <w:pPr>
        <w:tabs>
          <w:tab w:val="num" w:pos="5040"/>
        </w:tabs>
        <w:ind w:left="5040" w:hanging="360"/>
      </w:pPr>
      <w:rPr>
        <w:rFonts w:ascii="Wingdings 3" w:hAnsi="Wingdings 3" w:hint="default"/>
      </w:rPr>
    </w:lvl>
    <w:lvl w:ilvl="7" w:tplc="9796E04A" w:tentative="1">
      <w:start w:val="1"/>
      <w:numFmt w:val="bullet"/>
      <w:lvlText w:val=""/>
      <w:lvlJc w:val="left"/>
      <w:pPr>
        <w:tabs>
          <w:tab w:val="num" w:pos="5760"/>
        </w:tabs>
        <w:ind w:left="5760" w:hanging="360"/>
      </w:pPr>
      <w:rPr>
        <w:rFonts w:ascii="Wingdings 3" w:hAnsi="Wingdings 3" w:hint="default"/>
      </w:rPr>
    </w:lvl>
    <w:lvl w:ilvl="8" w:tplc="2214B2EC"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0E60369D"/>
    <w:multiLevelType w:val="hybridMultilevel"/>
    <w:tmpl w:val="DBCCD10C"/>
    <w:lvl w:ilvl="0" w:tplc="5AC827E4">
      <w:start w:val="1"/>
      <w:numFmt w:val="bullet"/>
      <w:lvlText w:val=""/>
      <w:lvlJc w:val="left"/>
      <w:pPr>
        <w:tabs>
          <w:tab w:val="num" w:pos="720"/>
        </w:tabs>
        <w:ind w:left="720" w:hanging="360"/>
      </w:pPr>
      <w:rPr>
        <w:rFonts w:ascii="Wingdings 3" w:hAnsi="Wingdings 3" w:hint="default"/>
      </w:rPr>
    </w:lvl>
    <w:lvl w:ilvl="1" w:tplc="B36E388E" w:tentative="1">
      <w:start w:val="1"/>
      <w:numFmt w:val="bullet"/>
      <w:lvlText w:val=""/>
      <w:lvlJc w:val="left"/>
      <w:pPr>
        <w:tabs>
          <w:tab w:val="num" w:pos="1440"/>
        </w:tabs>
        <w:ind w:left="1440" w:hanging="360"/>
      </w:pPr>
      <w:rPr>
        <w:rFonts w:ascii="Wingdings 3" w:hAnsi="Wingdings 3" w:hint="default"/>
      </w:rPr>
    </w:lvl>
    <w:lvl w:ilvl="2" w:tplc="F17E0C0A" w:tentative="1">
      <w:start w:val="1"/>
      <w:numFmt w:val="bullet"/>
      <w:lvlText w:val=""/>
      <w:lvlJc w:val="left"/>
      <w:pPr>
        <w:tabs>
          <w:tab w:val="num" w:pos="2160"/>
        </w:tabs>
        <w:ind w:left="2160" w:hanging="360"/>
      </w:pPr>
      <w:rPr>
        <w:rFonts w:ascii="Wingdings 3" w:hAnsi="Wingdings 3" w:hint="default"/>
      </w:rPr>
    </w:lvl>
    <w:lvl w:ilvl="3" w:tplc="36280492" w:tentative="1">
      <w:start w:val="1"/>
      <w:numFmt w:val="bullet"/>
      <w:lvlText w:val=""/>
      <w:lvlJc w:val="left"/>
      <w:pPr>
        <w:tabs>
          <w:tab w:val="num" w:pos="2880"/>
        </w:tabs>
        <w:ind w:left="2880" w:hanging="360"/>
      </w:pPr>
      <w:rPr>
        <w:rFonts w:ascii="Wingdings 3" w:hAnsi="Wingdings 3" w:hint="default"/>
      </w:rPr>
    </w:lvl>
    <w:lvl w:ilvl="4" w:tplc="A9C46C5C" w:tentative="1">
      <w:start w:val="1"/>
      <w:numFmt w:val="bullet"/>
      <w:lvlText w:val=""/>
      <w:lvlJc w:val="left"/>
      <w:pPr>
        <w:tabs>
          <w:tab w:val="num" w:pos="3600"/>
        </w:tabs>
        <w:ind w:left="3600" w:hanging="360"/>
      </w:pPr>
      <w:rPr>
        <w:rFonts w:ascii="Wingdings 3" w:hAnsi="Wingdings 3" w:hint="default"/>
      </w:rPr>
    </w:lvl>
    <w:lvl w:ilvl="5" w:tplc="A692CDC6" w:tentative="1">
      <w:start w:val="1"/>
      <w:numFmt w:val="bullet"/>
      <w:lvlText w:val=""/>
      <w:lvlJc w:val="left"/>
      <w:pPr>
        <w:tabs>
          <w:tab w:val="num" w:pos="4320"/>
        </w:tabs>
        <w:ind w:left="4320" w:hanging="360"/>
      </w:pPr>
      <w:rPr>
        <w:rFonts w:ascii="Wingdings 3" w:hAnsi="Wingdings 3" w:hint="default"/>
      </w:rPr>
    </w:lvl>
    <w:lvl w:ilvl="6" w:tplc="BE787A7C" w:tentative="1">
      <w:start w:val="1"/>
      <w:numFmt w:val="bullet"/>
      <w:lvlText w:val=""/>
      <w:lvlJc w:val="left"/>
      <w:pPr>
        <w:tabs>
          <w:tab w:val="num" w:pos="5040"/>
        </w:tabs>
        <w:ind w:left="5040" w:hanging="360"/>
      </w:pPr>
      <w:rPr>
        <w:rFonts w:ascii="Wingdings 3" w:hAnsi="Wingdings 3" w:hint="default"/>
      </w:rPr>
    </w:lvl>
    <w:lvl w:ilvl="7" w:tplc="6B2A9F8E" w:tentative="1">
      <w:start w:val="1"/>
      <w:numFmt w:val="bullet"/>
      <w:lvlText w:val=""/>
      <w:lvlJc w:val="left"/>
      <w:pPr>
        <w:tabs>
          <w:tab w:val="num" w:pos="5760"/>
        </w:tabs>
        <w:ind w:left="5760" w:hanging="360"/>
      </w:pPr>
      <w:rPr>
        <w:rFonts w:ascii="Wingdings 3" w:hAnsi="Wingdings 3" w:hint="default"/>
      </w:rPr>
    </w:lvl>
    <w:lvl w:ilvl="8" w:tplc="B5D2EE18"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127F5630"/>
    <w:multiLevelType w:val="hybridMultilevel"/>
    <w:tmpl w:val="5FF6ED16"/>
    <w:lvl w:ilvl="0" w:tplc="0946471A">
      <w:start w:val="1"/>
      <w:numFmt w:val="bullet"/>
      <w:lvlText w:val=""/>
      <w:lvlJc w:val="left"/>
      <w:pPr>
        <w:tabs>
          <w:tab w:val="num" w:pos="720"/>
        </w:tabs>
        <w:ind w:left="720" w:hanging="360"/>
      </w:pPr>
      <w:rPr>
        <w:rFonts w:ascii="Wingdings 3" w:hAnsi="Wingdings 3" w:hint="default"/>
      </w:rPr>
    </w:lvl>
    <w:lvl w:ilvl="1" w:tplc="20C6A5F0" w:tentative="1">
      <w:start w:val="1"/>
      <w:numFmt w:val="bullet"/>
      <w:lvlText w:val=""/>
      <w:lvlJc w:val="left"/>
      <w:pPr>
        <w:tabs>
          <w:tab w:val="num" w:pos="1440"/>
        </w:tabs>
        <w:ind w:left="1440" w:hanging="360"/>
      </w:pPr>
      <w:rPr>
        <w:rFonts w:ascii="Wingdings 3" w:hAnsi="Wingdings 3" w:hint="default"/>
      </w:rPr>
    </w:lvl>
    <w:lvl w:ilvl="2" w:tplc="71AC6E48" w:tentative="1">
      <w:start w:val="1"/>
      <w:numFmt w:val="bullet"/>
      <w:lvlText w:val=""/>
      <w:lvlJc w:val="left"/>
      <w:pPr>
        <w:tabs>
          <w:tab w:val="num" w:pos="2160"/>
        </w:tabs>
        <w:ind w:left="2160" w:hanging="360"/>
      </w:pPr>
      <w:rPr>
        <w:rFonts w:ascii="Wingdings 3" w:hAnsi="Wingdings 3" w:hint="default"/>
      </w:rPr>
    </w:lvl>
    <w:lvl w:ilvl="3" w:tplc="2A0218D6" w:tentative="1">
      <w:start w:val="1"/>
      <w:numFmt w:val="bullet"/>
      <w:lvlText w:val=""/>
      <w:lvlJc w:val="left"/>
      <w:pPr>
        <w:tabs>
          <w:tab w:val="num" w:pos="2880"/>
        </w:tabs>
        <w:ind w:left="2880" w:hanging="360"/>
      </w:pPr>
      <w:rPr>
        <w:rFonts w:ascii="Wingdings 3" w:hAnsi="Wingdings 3" w:hint="default"/>
      </w:rPr>
    </w:lvl>
    <w:lvl w:ilvl="4" w:tplc="1B165A7A" w:tentative="1">
      <w:start w:val="1"/>
      <w:numFmt w:val="bullet"/>
      <w:lvlText w:val=""/>
      <w:lvlJc w:val="left"/>
      <w:pPr>
        <w:tabs>
          <w:tab w:val="num" w:pos="3600"/>
        </w:tabs>
        <w:ind w:left="3600" w:hanging="360"/>
      </w:pPr>
      <w:rPr>
        <w:rFonts w:ascii="Wingdings 3" w:hAnsi="Wingdings 3" w:hint="default"/>
      </w:rPr>
    </w:lvl>
    <w:lvl w:ilvl="5" w:tplc="8EDC15F4" w:tentative="1">
      <w:start w:val="1"/>
      <w:numFmt w:val="bullet"/>
      <w:lvlText w:val=""/>
      <w:lvlJc w:val="left"/>
      <w:pPr>
        <w:tabs>
          <w:tab w:val="num" w:pos="4320"/>
        </w:tabs>
        <w:ind w:left="4320" w:hanging="360"/>
      </w:pPr>
      <w:rPr>
        <w:rFonts w:ascii="Wingdings 3" w:hAnsi="Wingdings 3" w:hint="default"/>
      </w:rPr>
    </w:lvl>
    <w:lvl w:ilvl="6" w:tplc="B950DC60" w:tentative="1">
      <w:start w:val="1"/>
      <w:numFmt w:val="bullet"/>
      <w:lvlText w:val=""/>
      <w:lvlJc w:val="left"/>
      <w:pPr>
        <w:tabs>
          <w:tab w:val="num" w:pos="5040"/>
        </w:tabs>
        <w:ind w:left="5040" w:hanging="360"/>
      </w:pPr>
      <w:rPr>
        <w:rFonts w:ascii="Wingdings 3" w:hAnsi="Wingdings 3" w:hint="default"/>
      </w:rPr>
    </w:lvl>
    <w:lvl w:ilvl="7" w:tplc="0BBA3374" w:tentative="1">
      <w:start w:val="1"/>
      <w:numFmt w:val="bullet"/>
      <w:lvlText w:val=""/>
      <w:lvlJc w:val="left"/>
      <w:pPr>
        <w:tabs>
          <w:tab w:val="num" w:pos="5760"/>
        </w:tabs>
        <w:ind w:left="5760" w:hanging="360"/>
      </w:pPr>
      <w:rPr>
        <w:rFonts w:ascii="Wingdings 3" w:hAnsi="Wingdings 3" w:hint="default"/>
      </w:rPr>
    </w:lvl>
    <w:lvl w:ilvl="8" w:tplc="4BA43DCE"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13E208BE"/>
    <w:multiLevelType w:val="hybridMultilevel"/>
    <w:tmpl w:val="0BFC1D08"/>
    <w:lvl w:ilvl="0" w:tplc="2AF41BAA">
      <w:start w:val="1"/>
      <w:numFmt w:val="bullet"/>
      <w:lvlText w:val=""/>
      <w:lvlJc w:val="left"/>
      <w:pPr>
        <w:tabs>
          <w:tab w:val="num" w:pos="720"/>
        </w:tabs>
        <w:ind w:left="720" w:hanging="360"/>
      </w:pPr>
      <w:rPr>
        <w:rFonts w:ascii="Wingdings 3" w:hAnsi="Wingdings 3" w:hint="default"/>
      </w:rPr>
    </w:lvl>
    <w:lvl w:ilvl="1" w:tplc="9E1ADBA2" w:tentative="1">
      <w:start w:val="1"/>
      <w:numFmt w:val="bullet"/>
      <w:lvlText w:val=""/>
      <w:lvlJc w:val="left"/>
      <w:pPr>
        <w:tabs>
          <w:tab w:val="num" w:pos="1440"/>
        </w:tabs>
        <w:ind w:left="1440" w:hanging="360"/>
      </w:pPr>
      <w:rPr>
        <w:rFonts w:ascii="Wingdings 3" w:hAnsi="Wingdings 3" w:hint="default"/>
      </w:rPr>
    </w:lvl>
    <w:lvl w:ilvl="2" w:tplc="5EE26DA0" w:tentative="1">
      <w:start w:val="1"/>
      <w:numFmt w:val="bullet"/>
      <w:lvlText w:val=""/>
      <w:lvlJc w:val="left"/>
      <w:pPr>
        <w:tabs>
          <w:tab w:val="num" w:pos="2160"/>
        </w:tabs>
        <w:ind w:left="2160" w:hanging="360"/>
      </w:pPr>
      <w:rPr>
        <w:rFonts w:ascii="Wingdings 3" w:hAnsi="Wingdings 3" w:hint="default"/>
      </w:rPr>
    </w:lvl>
    <w:lvl w:ilvl="3" w:tplc="F0D0EF56" w:tentative="1">
      <w:start w:val="1"/>
      <w:numFmt w:val="bullet"/>
      <w:lvlText w:val=""/>
      <w:lvlJc w:val="left"/>
      <w:pPr>
        <w:tabs>
          <w:tab w:val="num" w:pos="2880"/>
        </w:tabs>
        <w:ind w:left="2880" w:hanging="360"/>
      </w:pPr>
      <w:rPr>
        <w:rFonts w:ascii="Wingdings 3" w:hAnsi="Wingdings 3" w:hint="default"/>
      </w:rPr>
    </w:lvl>
    <w:lvl w:ilvl="4" w:tplc="605C3190" w:tentative="1">
      <w:start w:val="1"/>
      <w:numFmt w:val="bullet"/>
      <w:lvlText w:val=""/>
      <w:lvlJc w:val="left"/>
      <w:pPr>
        <w:tabs>
          <w:tab w:val="num" w:pos="3600"/>
        </w:tabs>
        <w:ind w:left="3600" w:hanging="360"/>
      </w:pPr>
      <w:rPr>
        <w:rFonts w:ascii="Wingdings 3" w:hAnsi="Wingdings 3" w:hint="default"/>
      </w:rPr>
    </w:lvl>
    <w:lvl w:ilvl="5" w:tplc="E3245D8C" w:tentative="1">
      <w:start w:val="1"/>
      <w:numFmt w:val="bullet"/>
      <w:lvlText w:val=""/>
      <w:lvlJc w:val="left"/>
      <w:pPr>
        <w:tabs>
          <w:tab w:val="num" w:pos="4320"/>
        </w:tabs>
        <w:ind w:left="4320" w:hanging="360"/>
      </w:pPr>
      <w:rPr>
        <w:rFonts w:ascii="Wingdings 3" w:hAnsi="Wingdings 3" w:hint="default"/>
      </w:rPr>
    </w:lvl>
    <w:lvl w:ilvl="6" w:tplc="578898A4" w:tentative="1">
      <w:start w:val="1"/>
      <w:numFmt w:val="bullet"/>
      <w:lvlText w:val=""/>
      <w:lvlJc w:val="left"/>
      <w:pPr>
        <w:tabs>
          <w:tab w:val="num" w:pos="5040"/>
        </w:tabs>
        <w:ind w:left="5040" w:hanging="360"/>
      </w:pPr>
      <w:rPr>
        <w:rFonts w:ascii="Wingdings 3" w:hAnsi="Wingdings 3" w:hint="default"/>
      </w:rPr>
    </w:lvl>
    <w:lvl w:ilvl="7" w:tplc="53B812E4" w:tentative="1">
      <w:start w:val="1"/>
      <w:numFmt w:val="bullet"/>
      <w:lvlText w:val=""/>
      <w:lvlJc w:val="left"/>
      <w:pPr>
        <w:tabs>
          <w:tab w:val="num" w:pos="5760"/>
        </w:tabs>
        <w:ind w:left="5760" w:hanging="360"/>
      </w:pPr>
      <w:rPr>
        <w:rFonts w:ascii="Wingdings 3" w:hAnsi="Wingdings 3" w:hint="default"/>
      </w:rPr>
    </w:lvl>
    <w:lvl w:ilvl="8" w:tplc="2FF6779E"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1567437F"/>
    <w:multiLevelType w:val="hybridMultilevel"/>
    <w:tmpl w:val="5EF8D25A"/>
    <w:lvl w:ilvl="0" w:tplc="4356C876">
      <w:start w:val="1"/>
      <w:numFmt w:val="bullet"/>
      <w:lvlText w:val=""/>
      <w:lvlJc w:val="left"/>
      <w:pPr>
        <w:tabs>
          <w:tab w:val="num" w:pos="720"/>
        </w:tabs>
        <w:ind w:left="720" w:hanging="360"/>
      </w:pPr>
      <w:rPr>
        <w:rFonts w:ascii="Wingdings 3" w:hAnsi="Wingdings 3" w:hint="default"/>
      </w:rPr>
    </w:lvl>
    <w:lvl w:ilvl="1" w:tplc="CF9E889A" w:tentative="1">
      <w:start w:val="1"/>
      <w:numFmt w:val="bullet"/>
      <w:lvlText w:val=""/>
      <w:lvlJc w:val="left"/>
      <w:pPr>
        <w:tabs>
          <w:tab w:val="num" w:pos="1440"/>
        </w:tabs>
        <w:ind w:left="1440" w:hanging="360"/>
      </w:pPr>
      <w:rPr>
        <w:rFonts w:ascii="Wingdings 3" w:hAnsi="Wingdings 3" w:hint="default"/>
      </w:rPr>
    </w:lvl>
    <w:lvl w:ilvl="2" w:tplc="DE8ADCBA" w:tentative="1">
      <w:start w:val="1"/>
      <w:numFmt w:val="bullet"/>
      <w:lvlText w:val=""/>
      <w:lvlJc w:val="left"/>
      <w:pPr>
        <w:tabs>
          <w:tab w:val="num" w:pos="2160"/>
        </w:tabs>
        <w:ind w:left="2160" w:hanging="360"/>
      </w:pPr>
      <w:rPr>
        <w:rFonts w:ascii="Wingdings 3" w:hAnsi="Wingdings 3" w:hint="default"/>
      </w:rPr>
    </w:lvl>
    <w:lvl w:ilvl="3" w:tplc="4B9CFF32" w:tentative="1">
      <w:start w:val="1"/>
      <w:numFmt w:val="bullet"/>
      <w:lvlText w:val=""/>
      <w:lvlJc w:val="left"/>
      <w:pPr>
        <w:tabs>
          <w:tab w:val="num" w:pos="2880"/>
        </w:tabs>
        <w:ind w:left="2880" w:hanging="360"/>
      </w:pPr>
      <w:rPr>
        <w:rFonts w:ascii="Wingdings 3" w:hAnsi="Wingdings 3" w:hint="default"/>
      </w:rPr>
    </w:lvl>
    <w:lvl w:ilvl="4" w:tplc="BFB87B6A" w:tentative="1">
      <w:start w:val="1"/>
      <w:numFmt w:val="bullet"/>
      <w:lvlText w:val=""/>
      <w:lvlJc w:val="left"/>
      <w:pPr>
        <w:tabs>
          <w:tab w:val="num" w:pos="3600"/>
        </w:tabs>
        <w:ind w:left="3600" w:hanging="360"/>
      </w:pPr>
      <w:rPr>
        <w:rFonts w:ascii="Wingdings 3" w:hAnsi="Wingdings 3" w:hint="default"/>
      </w:rPr>
    </w:lvl>
    <w:lvl w:ilvl="5" w:tplc="0C243078" w:tentative="1">
      <w:start w:val="1"/>
      <w:numFmt w:val="bullet"/>
      <w:lvlText w:val=""/>
      <w:lvlJc w:val="left"/>
      <w:pPr>
        <w:tabs>
          <w:tab w:val="num" w:pos="4320"/>
        </w:tabs>
        <w:ind w:left="4320" w:hanging="360"/>
      </w:pPr>
      <w:rPr>
        <w:rFonts w:ascii="Wingdings 3" w:hAnsi="Wingdings 3" w:hint="default"/>
      </w:rPr>
    </w:lvl>
    <w:lvl w:ilvl="6" w:tplc="EFCC0540" w:tentative="1">
      <w:start w:val="1"/>
      <w:numFmt w:val="bullet"/>
      <w:lvlText w:val=""/>
      <w:lvlJc w:val="left"/>
      <w:pPr>
        <w:tabs>
          <w:tab w:val="num" w:pos="5040"/>
        </w:tabs>
        <w:ind w:left="5040" w:hanging="360"/>
      </w:pPr>
      <w:rPr>
        <w:rFonts w:ascii="Wingdings 3" w:hAnsi="Wingdings 3" w:hint="default"/>
      </w:rPr>
    </w:lvl>
    <w:lvl w:ilvl="7" w:tplc="B77468B4" w:tentative="1">
      <w:start w:val="1"/>
      <w:numFmt w:val="bullet"/>
      <w:lvlText w:val=""/>
      <w:lvlJc w:val="left"/>
      <w:pPr>
        <w:tabs>
          <w:tab w:val="num" w:pos="5760"/>
        </w:tabs>
        <w:ind w:left="5760" w:hanging="360"/>
      </w:pPr>
      <w:rPr>
        <w:rFonts w:ascii="Wingdings 3" w:hAnsi="Wingdings 3" w:hint="default"/>
      </w:rPr>
    </w:lvl>
    <w:lvl w:ilvl="8" w:tplc="2306E186"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157A2B22"/>
    <w:multiLevelType w:val="hybridMultilevel"/>
    <w:tmpl w:val="AB40418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21F9749E"/>
    <w:multiLevelType w:val="hybridMultilevel"/>
    <w:tmpl w:val="4850A97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24D95BF5"/>
    <w:multiLevelType w:val="hybridMultilevel"/>
    <w:tmpl w:val="148A46BC"/>
    <w:lvl w:ilvl="0" w:tplc="061CBC28">
      <w:start w:val="1"/>
      <w:numFmt w:val="bullet"/>
      <w:lvlText w:val=""/>
      <w:lvlJc w:val="left"/>
      <w:pPr>
        <w:tabs>
          <w:tab w:val="num" w:pos="720"/>
        </w:tabs>
        <w:ind w:left="720" w:hanging="360"/>
      </w:pPr>
      <w:rPr>
        <w:rFonts w:ascii="Wingdings 3" w:hAnsi="Wingdings 3" w:hint="default"/>
      </w:rPr>
    </w:lvl>
    <w:lvl w:ilvl="1" w:tplc="D0A039FA" w:tentative="1">
      <w:start w:val="1"/>
      <w:numFmt w:val="bullet"/>
      <w:lvlText w:val=""/>
      <w:lvlJc w:val="left"/>
      <w:pPr>
        <w:tabs>
          <w:tab w:val="num" w:pos="1440"/>
        </w:tabs>
        <w:ind w:left="1440" w:hanging="360"/>
      </w:pPr>
      <w:rPr>
        <w:rFonts w:ascii="Wingdings 3" w:hAnsi="Wingdings 3" w:hint="default"/>
      </w:rPr>
    </w:lvl>
    <w:lvl w:ilvl="2" w:tplc="9B4AE1E4" w:tentative="1">
      <w:start w:val="1"/>
      <w:numFmt w:val="bullet"/>
      <w:lvlText w:val=""/>
      <w:lvlJc w:val="left"/>
      <w:pPr>
        <w:tabs>
          <w:tab w:val="num" w:pos="2160"/>
        </w:tabs>
        <w:ind w:left="2160" w:hanging="360"/>
      </w:pPr>
      <w:rPr>
        <w:rFonts w:ascii="Wingdings 3" w:hAnsi="Wingdings 3" w:hint="default"/>
      </w:rPr>
    </w:lvl>
    <w:lvl w:ilvl="3" w:tplc="78942B3E" w:tentative="1">
      <w:start w:val="1"/>
      <w:numFmt w:val="bullet"/>
      <w:lvlText w:val=""/>
      <w:lvlJc w:val="left"/>
      <w:pPr>
        <w:tabs>
          <w:tab w:val="num" w:pos="2880"/>
        </w:tabs>
        <w:ind w:left="2880" w:hanging="360"/>
      </w:pPr>
      <w:rPr>
        <w:rFonts w:ascii="Wingdings 3" w:hAnsi="Wingdings 3" w:hint="default"/>
      </w:rPr>
    </w:lvl>
    <w:lvl w:ilvl="4" w:tplc="55342C8E" w:tentative="1">
      <w:start w:val="1"/>
      <w:numFmt w:val="bullet"/>
      <w:lvlText w:val=""/>
      <w:lvlJc w:val="left"/>
      <w:pPr>
        <w:tabs>
          <w:tab w:val="num" w:pos="3600"/>
        </w:tabs>
        <w:ind w:left="3600" w:hanging="360"/>
      </w:pPr>
      <w:rPr>
        <w:rFonts w:ascii="Wingdings 3" w:hAnsi="Wingdings 3" w:hint="default"/>
      </w:rPr>
    </w:lvl>
    <w:lvl w:ilvl="5" w:tplc="AE34995A" w:tentative="1">
      <w:start w:val="1"/>
      <w:numFmt w:val="bullet"/>
      <w:lvlText w:val=""/>
      <w:lvlJc w:val="left"/>
      <w:pPr>
        <w:tabs>
          <w:tab w:val="num" w:pos="4320"/>
        </w:tabs>
        <w:ind w:left="4320" w:hanging="360"/>
      </w:pPr>
      <w:rPr>
        <w:rFonts w:ascii="Wingdings 3" w:hAnsi="Wingdings 3" w:hint="default"/>
      </w:rPr>
    </w:lvl>
    <w:lvl w:ilvl="6" w:tplc="787C9BA6" w:tentative="1">
      <w:start w:val="1"/>
      <w:numFmt w:val="bullet"/>
      <w:lvlText w:val=""/>
      <w:lvlJc w:val="left"/>
      <w:pPr>
        <w:tabs>
          <w:tab w:val="num" w:pos="5040"/>
        </w:tabs>
        <w:ind w:left="5040" w:hanging="360"/>
      </w:pPr>
      <w:rPr>
        <w:rFonts w:ascii="Wingdings 3" w:hAnsi="Wingdings 3" w:hint="default"/>
      </w:rPr>
    </w:lvl>
    <w:lvl w:ilvl="7" w:tplc="B706143A" w:tentative="1">
      <w:start w:val="1"/>
      <w:numFmt w:val="bullet"/>
      <w:lvlText w:val=""/>
      <w:lvlJc w:val="left"/>
      <w:pPr>
        <w:tabs>
          <w:tab w:val="num" w:pos="5760"/>
        </w:tabs>
        <w:ind w:left="5760" w:hanging="360"/>
      </w:pPr>
      <w:rPr>
        <w:rFonts w:ascii="Wingdings 3" w:hAnsi="Wingdings 3" w:hint="default"/>
      </w:rPr>
    </w:lvl>
    <w:lvl w:ilvl="8" w:tplc="3AD42D26"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25805099"/>
    <w:multiLevelType w:val="hybridMultilevel"/>
    <w:tmpl w:val="A810EAB4"/>
    <w:lvl w:ilvl="0" w:tplc="B0E23E02">
      <w:start w:val="1"/>
      <w:numFmt w:val="bullet"/>
      <w:lvlText w:val=""/>
      <w:lvlJc w:val="left"/>
      <w:pPr>
        <w:tabs>
          <w:tab w:val="num" w:pos="720"/>
        </w:tabs>
        <w:ind w:left="720" w:hanging="360"/>
      </w:pPr>
      <w:rPr>
        <w:rFonts w:ascii="Wingdings 3" w:hAnsi="Wingdings 3" w:hint="default"/>
      </w:rPr>
    </w:lvl>
    <w:lvl w:ilvl="1" w:tplc="5DD07C1C" w:tentative="1">
      <w:start w:val="1"/>
      <w:numFmt w:val="bullet"/>
      <w:lvlText w:val=""/>
      <w:lvlJc w:val="left"/>
      <w:pPr>
        <w:tabs>
          <w:tab w:val="num" w:pos="1440"/>
        </w:tabs>
        <w:ind w:left="1440" w:hanging="360"/>
      </w:pPr>
      <w:rPr>
        <w:rFonts w:ascii="Wingdings 3" w:hAnsi="Wingdings 3" w:hint="default"/>
      </w:rPr>
    </w:lvl>
    <w:lvl w:ilvl="2" w:tplc="C32E452C" w:tentative="1">
      <w:start w:val="1"/>
      <w:numFmt w:val="bullet"/>
      <w:lvlText w:val=""/>
      <w:lvlJc w:val="left"/>
      <w:pPr>
        <w:tabs>
          <w:tab w:val="num" w:pos="2160"/>
        </w:tabs>
        <w:ind w:left="2160" w:hanging="360"/>
      </w:pPr>
      <w:rPr>
        <w:rFonts w:ascii="Wingdings 3" w:hAnsi="Wingdings 3" w:hint="default"/>
      </w:rPr>
    </w:lvl>
    <w:lvl w:ilvl="3" w:tplc="0A0A934E" w:tentative="1">
      <w:start w:val="1"/>
      <w:numFmt w:val="bullet"/>
      <w:lvlText w:val=""/>
      <w:lvlJc w:val="left"/>
      <w:pPr>
        <w:tabs>
          <w:tab w:val="num" w:pos="2880"/>
        </w:tabs>
        <w:ind w:left="2880" w:hanging="360"/>
      </w:pPr>
      <w:rPr>
        <w:rFonts w:ascii="Wingdings 3" w:hAnsi="Wingdings 3" w:hint="default"/>
      </w:rPr>
    </w:lvl>
    <w:lvl w:ilvl="4" w:tplc="909ACAF6" w:tentative="1">
      <w:start w:val="1"/>
      <w:numFmt w:val="bullet"/>
      <w:lvlText w:val=""/>
      <w:lvlJc w:val="left"/>
      <w:pPr>
        <w:tabs>
          <w:tab w:val="num" w:pos="3600"/>
        </w:tabs>
        <w:ind w:left="3600" w:hanging="360"/>
      </w:pPr>
      <w:rPr>
        <w:rFonts w:ascii="Wingdings 3" w:hAnsi="Wingdings 3" w:hint="default"/>
      </w:rPr>
    </w:lvl>
    <w:lvl w:ilvl="5" w:tplc="C29ECA7A" w:tentative="1">
      <w:start w:val="1"/>
      <w:numFmt w:val="bullet"/>
      <w:lvlText w:val=""/>
      <w:lvlJc w:val="left"/>
      <w:pPr>
        <w:tabs>
          <w:tab w:val="num" w:pos="4320"/>
        </w:tabs>
        <w:ind w:left="4320" w:hanging="360"/>
      </w:pPr>
      <w:rPr>
        <w:rFonts w:ascii="Wingdings 3" w:hAnsi="Wingdings 3" w:hint="default"/>
      </w:rPr>
    </w:lvl>
    <w:lvl w:ilvl="6" w:tplc="59D48796" w:tentative="1">
      <w:start w:val="1"/>
      <w:numFmt w:val="bullet"/>
      <w:lvlText w:val=""/>
      <w:lvlJc w:val="left"/>
      <w:pPr>
        <w:tabs>
          <w:tab w:val="num" w:pos="5040"/>
        </w:tabs>
        <w:ind w:left="5040" w:hanging="360"/>
      </w:pPr>
      <w:rPr>
        <w:rFonts w:ascii="Wingdings 3" w:hAnsi="Wingdings 3" w:hint="default"/>
      </w:rPr>
    </w:lvl>
    <w:lvl w:ilvl="7" w:tplc="F6E0827E" w:tentative="1">
      <w:start w:val="1"/>
      <w:numFmt w:val="bullet"/>
      <w:lvlText w:val=""/>
      <w:lvlJc w:val="left"/>
      <w:pPr>
        <w:tabs>
          <w:tab w:val="num" w:pos="5760"/>
        </w:tabs>
        <w:ind w:left="5760" w:hanging="360"/>
      </w:pPr>
      <w:rPr>
        <w:rFonts w:ascii="Wingdings 3" w:hAnsi="Wingdings 3" w:hint="default"/>
      </w:rPr>
    </w:lvl>
    <w:lvl w:ilvl="8" w:tplc="8EB40272"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25B950DA"/>
    <w:multiLevelType w:val="hybridMultilevel"/>
    <w:tmpl w:val="FAA0748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27552380"/>
    <w:multiLevelType w:val="hybridMultilevel"/>
    <w:tmpl w:val="2928656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296F393F"/>
    <w:multiLevelType w:val="multilevel"/>
    <w:tmpl w:val="CABAF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C25885"/>
    <w:multiLevelType w:val="multilevel"/>
    <w:tmpl w:val="704EE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205384"/>
    <w:multiLevelType w:val="hybridMultilevel"/>
    <w:tmpl w:val="668A1256"/>
    <w:lvl w:ilvl="0" w:tplc="BE484AB2">
      <w:start w:val="1"/>
      <w:numFmt w:val="bullet"/>
      <w:lvlText w:val=""/>
      <w:lvlJc w:val="left"/>
      <w:pPr>
        <w:tabs>
          <w:tab w:val="num" w:pos="720"/>
        </w:tabs>
        <w:ind w:left="720" w:hanging="360"/>
      </w:pPr>
      <w:rPr>
        <w:rFonts w:ascii="Wingdings 3" w:hAnsi="Wingdings 3" w:hint="default"/>
      </w:rPr>
    </w:lvl>
    <w:lvl w:ilvl="1" w:tplc="E88AB950" w:tentative="1">
      <w:start w:val="1"/>
      <w:numFmt w:val="bullet"/>
      <w:lvlText w:val=""/>
      <w:lvlJc w:val="left"/>
      <w:pPr>
        <w:tabs>
          <w:tab w:val="num" w:pos="1440"/>
        </w:tabs>
        <w:ind w:left="1440" w:hanging="360"/>
      </w:pPr>
      <w:rPr>
        <w:rFonts w:ascii="Wingdings 3" w:hAnsi="Wingdings 3" w:hint="default"/>
      </w:rPr>
    </w:lvl>
    <w:lvl w:ilvl="2" w:tplc="D9D2F8FC" w:tentative="1">
      <w:start w:val="1"/>
      <w:numFmt w:val="bullet"/>
      <w:lvlText w:val=""/>
      <w:lvlJc w:val="left"/>
      <w:pPr>
        <w:tabs>
          <w:tab w:val="num" w:pos="2160"/>
        </w:tabs>
        <w:ind w:left="2160" w:hanging="360"/>
      </w:pPr>
      <w:rPr>
        <w:rFonts w:ascii="Wingdings 3" w:hAnsi="Wingdings 3" w:hint="default"/>
      </w:rPr>
    </w:lvl>
    <w:lvl w:ilvl="3" w:tplc="6CC2AB80" w:tentative="1">
      <w:start w:val="1"/>
      <w:numFmt w:val="bullet"/>
      <w:lvlText w:val=""/>
      <w:lvlJc w:val="left"/>
      <w:pPr>
        <w:tabs>
          <w:tab w:val="num" w:pos="2880"/>
        </w:tabs>
        <w:ind w:left="2880" w:hanging="360"/>
      </w:pPr>
      <w:rPr>
        <w:rFonts w:ascii="Wingdings 3" w:hAnsi="Wingdings 3" w:hint="default"/>
      </w:rPr>
    </w:lvl>
    <w:lvl w:ilvl="4" w:tplc="B7C6D270" w:tentative="1">
      <w:start w:val="1"/>
      <w:numFmt w:val="bullet"/>
      <w:lvlText w:val=""/>
      <w:lvlJc w:val="left"/>
      <w:pPr>
        <w:tabs>
          <w:tab w:val="num" w:pos="3600"/>
        </w:tabs>
        <w:ind w:left="3600" w:hanging="360"/>
      </w:pPr>
      <w:rPr>
        <w:rFonts w:ascii="Wingdings 3" w:hAnsi="Wingdings 3" w:hint="default"/>
      </w:rPr>
    </w:lvl>
    <w:lvl w:ilvl="5" w:tplc="B42E006A" w:tentative="1">
      <w:start w:val="1"/>
      <w:numFmt w:val="bullet"/>
      <w:lvlText w:val=""/>
      <w:lvlJc w:val="left"/>
      <w:pPr>
        <w:tabs>
          <w:tab w:val="num" w:pos="4320"/>
        </w:tabs>
        <w:ind w:left="4320" w:hanging="360"/>
      </w:pPr>
      <w:rPr>
        <w:rFonts w:ascii="Wingdings 3" w:hAnsi="Wingdings 3" w:hint="default"/>
      </w:rPr>
    </w:lvl>
    <w:lvl w:ilvl="6" w:tplc="4218FA2A" w:tentative="1">
      <w:start w:val="1"/>
      <w:numFmt w:val="bullet"/>
      <w:lvlText w:val=""/>
      <w:lvlJc w:val="left"/>
      <w:pPr>
        <w:tabs>
          <w:tab w:val="num" w:pos="5040"/>
        </w:tabs>
        <w:ind w:left="5040" w:hanging="360"/>
      </w:pPr>
      <w:rPr>
        <w:rFonts w:ascii="Wingdings 3" w:hAnsi="Wingdings 3" w:hint="default"/>
      </w:rPr>
    </w:lvl>
    <w:lvl w:ilvl="7" w:tplc="CD889962" w:tentative="1">
      <w:start w:val="1"/>
      <w:numFmt w:val="bullet"/>
      <w:lvlText w:val=""/>
      <w:lvlJc w:val="left"/>
      <w:pPr>
        <w:tabs>
          <w:tab w:val="num" w:pos="5760"/>
        </w:tabs>
        <w:ind w:left="5760" w:hanging="360"/>
      </w:pPr>
      <w:rPr>
        <w:rFonts w:ascii="Wingdings 3" w:hAnsi="Wingdings 3" w:hint="default"/>
      </w:rPr>
    </w:lvl>
    <w:lvl w:ilvl="8" w:tplc="DDF8F172"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326931F7"/>
    <w:multiLevelType w:val="multilevel"/>
    <w:tmpl w:val="F5E03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871FD7"/>
    <w:multiLevelType w:val="hybridMultilevel"/>
    <w:tmpl w:val="59AC8E0E"/>
    <w:lvl w:ilvl="0" w:tplc="3B64F56A">
      <w:start w:val="1"/>
      <w:numFmt w:val="bullet"/>
      <w:lvlText w:val=""/>
      <w:lvlJc w:val="left"/>
      <w:pPr>
        <w:tabs>
          <w:tab w:val="num" w:pos="720"/>
        </w:tabs>
        <w:ind w:left="720" w:hanging="360"/>
      </w:pPr>
      <w:rPr>
        <w:rFonts w:ascii="Wingdings 3" w:hAnsi="Wingdings 3" w:hint="default"/>
      </w:rPr>
    </w:lvl>
    <w:lvl w:ilvl="1" w:tplc="A6DA97B0" w:tentative="1">
      <w:start w:val="1"/>
      <w:numFmt w:val="bullet"/>
      <w:lvlText w:val=""/>
      <w:lvlJc w:val="left"/>
      <w:pPr>
        <w:tabs>
          <w:tab w:val="num" w:pos="1440"/>
        </w:tabs>
        <w:ind w:left="1440" w:hanging="360"/>
      </w:pPr>
      <w:rPr>
        <w:rFonts w:ascii="Wingdings 3" w:hAnsi="Wingdings 3" w:hint="default"/>
      </w:rPr>
    </w:lvl>
    <w:lvl w:ilvl="2" w:tplc="E3C221FC" w:tentative="1">
      <w:start w:val="1"/>
      <w:numFmt w:val="bullet"/>
      <w:lvlText w:val=""/>
      <w:lvlJc w:val="left"/>
      <w:pPr>
        <w:tabs>
          <w:tab w:val="num" w:pos="2160"/>
        </w:tabs>
        <w:ind w:left="2160" w:hanging="360"/>
      </w:pPr>
      <w:rPr>
        <w:rFonts w:ascii="Wingdings 3" w:hAnsi="Wingdings 3" w:hint="default"/>
      </w:rPr>
    </w:lvl>
    <w:lvl w:ilvl="3" w:tplc="1DB06016" w:tentative="1">
      <w:start w:val="1"/>
      <w:numFmt w:val="bullet"/>
      <w:lvlText w:val=""/>
      <w:lvlJc w:val="left"/>
      <w:pPr>
        <w:tabs>
          <w:tab w:val="num" w:pos="2880"/>
        </w:tabs>
        <w:ind w:left="2880" w:hanging="360"/>
      </w:pPr>
      <w:rPr>
        <w:rFonts w:ascii="Wingdings 3" w:hAnsi="Wingdings 3" w:hint="default"/>
      </w:rPr>
    </w:lvl>
    <w:lvl w:ilvl="4" w:tplc="903242B0" w:tentative="1">
      <w:start w:val="1"/>
      <w:numFmt w:val="bullet"/>
      <w:lvlText w:val=""/>
      <w:lvlJc w:val="left"/>
      <w:pPr>
        <w:tabs>
          <w:tab w:val="num" w:pos="3600"/>
        </w:tabs>
        <w:ind w:left="3600" w:hanging="360"/>
      </w:pPr>
      <w:rPr>
        <w:rFonts w:ascii="Wingdings 3" w:hAnsi="Wingdings 3" w:hint="default"/>
      </w:rPr>
    </w:lvl>
    <w:lvl w:ilvl="5" w:tplc="E534AE38" w:tentative="1">
      <w:start w:val="1"/>
      <w:numFmt w:val="bullet"/>
      <w:lvlText w:val=""/>
      <w:lvlJc w:val="left"/>
      <w:pPr>
        <w:tabs>
          <w:tab w:val="num" w:pos="4320"/>
        </w:tabs>
        <w:ind w:left="4320" w:hanging="360"/>
      </w:pPr>
      <w:rPr>
        <w:rFonts w:ascii="Wingdings 3" w:hAnsi="Wingdings 3" w:hint="default"/>
      </w:rPr>
    </w:lvl>
    <w:lvl w:ilvl="6" w:tplc="4302F560" w:tentative="1">
      <w:start w:val="1"/>
      <w:numFmt w:val="bullet"/>
      <w:lvlText w:val=""/>
      <w:lvlJc w:val="left"/>
      <w:pPr>
        <w:tabs>
          <w:tab w:val="num" w:pos="5040"/>
        </w:tabs>
        <w:ind w:left="5040" w:hanging="360"/>
      </w:pPr>
      <w:rPr>
        <w:rFonts w:ascii="Wingdings 3" w:hAnsi="Wingdings 3" w:hint="default"/>
      </w:rPr>
    </w:lvl>
    <w:lvl w:ilvl="7" w:tplc="0CE286B6" w:tentative="1">
      <w:start w:val="1"/>
      <w:numFmt w:val="bullet"/>
      <w:lvlText w:val=""/>
      <w:lvlJc w:val="left"/>
      <w:pPr>
        <w:tabs>
          <w:tab w:val="num" w:pos="5760"/>
        </w:tabs>
        <w:ind w:left="5760" w:hanging="360"/>
      </w:pPr>
      <w:rPr>
        <w:rFonts w:ascii="Wingdings 3" w:hAnsi="Wingdings 3" w:hint="default"/>
      </w:rPr>
    </w:lvl>
    <w:lvl w:ilvl="8" w:tplc="96F843C2"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40E2589A"/>
    <w:multiLevelType w:val="hybridMultilevel"/>
    <w:tmpl w:val="8D0CA19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0" w15:restartNumberingAfterBreak="0">
    <w:nsid w:val="471D5673"/>
    <w:multiLevelType w:val="multilevel"/>
    <w:tmpl w:val="8A9E7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497000"/>
    <w:multiLevelType w:val="hybridMultilevel"/>
    <w:tmpl w:val="0AC0B1B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4FD448E3"/>
    <w:multiLevelType w:val="hybridMultilevel"/>
    <w:tmpl w:val="C8C2678A"/>
    <w:lvl w:ilvl="0" w:tplc="A9EEBFAE">
      <w:start w:val="1"/>
      <w:numFmt w:val="bullet"/>
      <w:lvlText w:val=""/>
      <w:lvlJc w:val="left"/>
      <w:pPr>
        <w:tabs>
          <w:tab w:val="num" w:pos="720"/>
        </w:tabs>
        <w:ind w:left="720" w:hanging="360"/>
      </w:pPr>
      <w:rPr>
        <w:rFonts w:ascii="Wingdings 3" w:hAnsi="Wingdings 3" w:hint="default"/>
      </w:rPr>
    </w:lvl>
    <w:lvl w:ilvl="1" w:tplc="05640946" w:tentative="1">
      <w:start w:val="1"/>
      <w:numFmt w:val="bullet"/>
      <w:lvlText w:val=""/>
      <w:lvlJc w:val="left"/>
      <w:pPr>
        <w:tabs>
          <w:tab w:val="num" w:pos="1440"/>
        </w:tabs>
        <w:ind w:left="1440" w:hanging="360"/>
      </w:pPr>
      <w:rPr>
        <w:rFonts w:ascii="Wingdings 3" w:hAnsi="Wingdings 3" w:hint="default"/>
      </w:rPr>
    </w:lvl>
    <w:lvl w:ilvl="2" w:tplc="36802328" w:tentative="1">
      <w:start w:val="1"/>
      <w:numFmt w:val="bullet"/>
      <w:lvlText w:val=""/>
      <w:lvlJc w:val="left"/>
      <w:pPr>
        <w:tabs>
          <w:tab w:val="num" w:pos="2160"/>
        </w:tabs>
        <w:ind w:left="2160" w:hanging="360"/>
      </w:pPr>
      <w:rPr>
        <w:rFonts w:ascii="Wingdings 3" w:hAnsi="Wingdings 3" w:hint="default"/>
      </w:rPr>
    </w:lvl>
    <w:lvl w:ilvl="3" w:tplc="FED83874" w:tentative="1">
      <w:start w:val="1"/>
      <w:numFmt w:val="bullet"/>
      <w:lvlText w:val=""/>
      <w:lvlJc w:val="left"/>
      <w:pPr>
        <w:tabs>
          <w:tab w:val="num" w:pos="2880"/>
        </w:tabs>
        <w:ind w:left="2880" w:hanging="360"/>
      </w:pPr>
      <w:rPr>
        <w:rFonts w:ascii="Wingdings 3" w:hAnsi="Wingdings 3" w:hint="default"/>
      </w:rPr>
    </w:lvl>
    <w:lvl w:ilvl="4" w:tplc="3A56892E" w:tentative="1">
      <w:start w:val="1"/>
      <w:numFmt w:val="bullet"/>
      <w:lvlText w:val=""/>
      <w:lvlJc w:val="left"/>
      <w:pPr>
        <w:tabs>
          <w:tab w:val="num" w:pos="3600"/>
        </w:tabs>
        <w:ind w:left="3600" w:hanging="360"/>
      </w:pPr>
      <w:rPr>
        <w:rFonts w:ascii="Wingdings 3" w:hAnsi="Wingdings 3" w:hint="default"/>
      </w:rPr>
    </w:lvl>
    <w:lvl w:ilvl="5" w:tplc="4C28269E" w:tentative="1">
      <w:start w:val="1"/>
      <w:numFmt w:val="bullet"/>
      <w:lvlText w:val=""/>
      <w:lvlJc w:val="left"/>
      <w:pPr>
        <w:tabs>
          <w:tab w:val="num" w:pos="4320"/>
        </w:tabs>
        <w:ind w:left="4320" w:hanging="360"/>
      </w:pPr>
      <w:rPr>
        <w:rFonts w:ascii="Wingdings 3" w:hAnsi="Wingdings 3" w:hint="default"/>
      </w:rPr>
    </w:lvl>
    <w:lvl w:ilvl="6" w:tplc="DDA6A788" w:tentative="1">
      <w:start w:val="1"/>
      <w:numFmt w:val="bullet"/>
      <w:lvlText w:val=""/>
      <w:lvlJc w:val="left"/>
      <w:pPr>
        <w:tabs>
          <w:tab w:val="num" w:pos="5040"/>
        </w:tabs>
        <w:ind w:left="5040" w:hanging="360"/>
      </w:pPr>
      <w:rPr>
        <w:rFonts w:ascii="Wingdings 3" w:hAnsi="Wingdings 3" w:hint="default"/>
      </w:rPr>
    </w:lvl>
    <w:lvl w:ilvl="7" w:tplc="9A063EA4" w:tentative="1">
      <w:start w:val="1"/>
      <w:numFmt w:val="bullet"/>
      <w:lvlText w:val=""/>
      <w:lvlJc w:val="left"/>
      <w:pPr>
        <w:tabs>
          <w:tab w:val="num" w:pos="5760"/>
        </w:tabs>
        <w:ind w:left="5760" w:hanging="360"/>
      </w:pPr>
      <w:rPr>
        <w:rFonts w:ascii="Wingdings 3" w:hAnsi="Wingdings 3" w:hint="default"/>
      </w:rPr>
    </w:lvl>
    <w:lvl w:ilvl="8" w:tplc="705036FE" w:tentative="1">
      <w:start w:val="1"/>
      <w:numFmt w:val="bullet"/>
      <w:lvlText w:val=""/>
      <w:lvlJc w:val="left"/>
      <w:pPr>
        <w:tabs>
          <w:tab w:val="num" w:pos="6480"/>
        </w:tabs>
        <w:ind w:left="6480" w:hanging="360"/>
      </w:pPr>
      <w:rPr>
        <w:rFonts w:ascii="Wingdings 3" w:hAnsi="Wingdings 3" w:hint="default"/>
      </w:rPr>
    </w:lvl>
  </w:abstractNum>
  <w:abstractNum w:abstractNumId="23" w15:restartNumberingAfterBreak="0">
    <w:nsid w:val="512B1390"/>
    <w:multiLevelType w:val="hybridMultilevel"/>
    <w:tmpl w:val="7B3E6EE2"/>
    <w:lvl w:ilvl="0" w:tplc="5212118A">
      <w:start w:val="1"/>
      <w:numFmt w:val="bullet"/>
      <w:lvlText w:val=""/>
      <w:lvlJc w:val="left"/>
      <w:pPr>
        <w:tabs>
          <w:tab w:val="num" w:pos="720"/>
        </w:tabs>
        <w:ind w:left="720" w:hanging="360"/>
      </w:pPr>
      <w:rPr>
        <w:rFonts w:ascii="Wingdings 3" w:hAnsi="Wingdings 3" w:hint="default"/>
      </w:rPr>
    </w:lvl>
    <w:lvl w:ilvl="1" w:tplc="4E62845C" w:tentative="1">
      <w:start w:val="1"/>
      <w:numFmt w:val="bullet"/>
      <w:lvlText w:val=""/>
      <w:lvlJc w:val="left"/>
      <w:pPr>
        <w:tabs>
          <w:tab w:val="num" w:pos="1440"/>
        </w:tabs>
        <w:ind w:left="1440" w:hanging="360"/>
      </w:pPr>
      <w:rPr>
        <w:rFonts w:ascii="Wingdings 3" w:hAnsi="Wingdings 3" w:hint="default"/>
      </w:rPr>
    </w:lvl>
    <w:lvl w:ilvl="2" w:tplc="48E873C0" w:tentative="1">
      <w:start w:val="1"/>
      <w:numFmt w:val="bullet"/>
      <w:lvlText w:val=""/>
      <w:lvlJc w:val="left"/>
      <w:pPr>
        <w:tabs>
          <w:tab w:val="num" w:pos="2160"/>
        </w:tabs>
        <w:ind w:left="2160" w:hanging="360"/>
      </w:pPr>
      <w:rPr>
        <w:rFonts w:ascii="Wingdings 3" w:hAnsi="Wingdings 3" w:hint="default"/>
      </w:rPr>
    </w:lvl>
    <w:lvl w:ilvl="3" w:tplc="F32687E6" w:tentative="1">
      <w:start w:val="1"/>
      <w:numFmt w:val="bullet"/>
      <w:lvlText w:val=""/>
      <w:lvlJc w:val="left"/>
      <w:pPr>
        <w:tabs>
          <w:tab w:val="num" w:pos="2880"/>
        </w:tabs>
        <w:ind w:left="2880" w:hanging="360"/>
      </w:pPr>
      <w:rPr>
        <w:rFonts w:ascii="Wingdings 3" w:hAnsi="Wingdings 3" w:hint="default"/>
      </w:rPr>
    </w:lvl>
    <w:lvl w:ilvl="4" w:tplc="2C5407CE" w:tentative="1">
      <w:start w:val="1"/>
      <w:numFmt w:val="bullet"/>
      <w:lvlText w:val=""/>
      <w:lvlJc w:val="left"/>
      <w:pPr>
        <w:tabs>
          <w:tab w:val="num" w:pos="3600"/>
        </w:tabs>
        <w:ind w:left="3600" w:hanging="360"/>
      </w:pPr>
      <w:rPr>
        <w:rFonts w:ascii="Wingdings 3" w:hAnsi="Wingdings 3" w:hint="default"/>
      </w:rPr>
    </w:lvl>
    <w:lvl w:ilvl="5" w:tplc="CE54E35E" w:tentative="1">
      <w:start w:val="1"/>
      <w:numFmt w:val="bullet"/>
      <w:lvlText w:val=""/>
      <w:lvlJc w:val="left"/>
      <w:pPr>
        <w:tabs>
          <w:tab w:val="num" w:pos="4320"/>
        </w:tabs>
        <w:ind w:left="4320" w:hanging="360"/>
      </w:pPr>
      <w:rPr>
        <w:rFonts w:ascii="Wingdings 3" w:hAnsi="Wingdings 3" w:hint="default"/>
      </w:rPr>
    </w:lvl>
    <w:lvl w:ilvl="6" w:tplc="322E8D2C" w:tentative="1">
      <w:start w:val="1"/>
      <w:numFmt w:val="bullet"/>
      <w:lvlText w:val=""/>
      <w:lvlJc w:val="left"/>
      <w:pPr>
        <w:tabs>
          <w:tab w:val="num" w:pos="5040"/>
        </w:tabs>
        <w:ind w:left="5040" w:hanging="360"/>
      </w:pPr>
      <w:rPr>
        <w:rFonts w:ascii="Wingdings 3" w:hAnsi="Wingdings 3" w:hint="default"/>
      </w:rPr>
    </w:lvl>
    <w:lvl w:ilvl="7" w:tplc="336AE840" w:tentative="1">
      <w:start w:val="1"/>
      <w:numFmt w:val="bullet"/>
      <w:lvlText w:val=""/>
      <w:lvlJc w:val="left"/>
      <w:pPr>
        <w:tabs>
          <w:tab w:val="num" w:pos="5760"/>
        </w:tabs>
        <w:ind w:left="5760" w:hanging="360"/>
      </w:pPr>
      <w:rPr>
        <w:rFonts w:ascii="Wingdings 3" w:hAnsi="Wingdings 3" w:hint="default"/>
      </w:rPr>
    </w:lvl>
    <w:lvl w:ilvl="8" w:tplc="9FEA78AE" w:tentative="1">
      <w:start w:val="1"/>
      <w:numFmt w:val="bullet"/>
      <w:lvlText w:val=""/>
      <w:lvlJc w:val="left"/>
      <w:pPr>
        <w:tabs>
          <w:tab w:val="num" w:pos="6480"/>
        </w:tabs>
        <w:ind w:left="6480" w:hanging="360"/>
      </w:pPr>
      <w:rPr>
        <w:rFonts w:ascii="Wingdings 3" w:hAnsi="Wingdings 3" w:hint="default"/>
      </w:rPr>
    </w:lvl>
  </w:abstractNum>
  <w:abstractNum w:abstractNumId="24" w15:restartNumberingAfterBreak="0">
    <w:nsid w:val="55670D2E"/>
    <w:multiLevelType w:val="hybridMultilevel"/>
    <w:tmpl w:val="8B1076DE"/>
    <w:lvl w:ilvl="0" w:tplc="C36CAF46">
      <w:start w:val="1"/>
      <w:numFmt w:val="bullet"/>
      <w:lvlText w:val=""/>
      <w:lvlJc w:val="left"/>
      <w:pPr>
        <w:tabs>
          <w:tab w:val="num" w:pos="720"/>
        </w:tabs>
        <w:ind w:left="720" w:hanging="360"/>
      </w:pPr>
      <w:rPr>
        <w:rFonts w:ascii="Wingdings 3" w:hAnsi="Wingdings 3" w:hint="default"/>
      </w:rPr>
    </w:lvl>
    <w:lvl w:ilvl="1" w:tplc="9FB093A8" w:tentative="1">
      <w:start w:val="1"/>
      <w:numFmt w:val="bullet"/>
      <w:lvlText w:val=""/>
      <w:lvlJc w:val="left"/>
      <w:pPr>
        <w:tabs>
          <w:tab w:val="num" w:pos="1440"/>
        </w:tabs>
        <w:ind w:left="1440" w:hanging="360"/>
      </w:pPr>
      <w:rPr>
        <w:rFonts w:ascii="Wingdings 3" w:hAnsi="Wingdings 3" w:hint="default"/>
      </w:rPr>
    </w:lvl>
    <w:lvl w:ilvl="2" w:tplc="0C28C8FE" w:tentative="1">
      <w:start w:val="1"/>
      <w:numFmt w:val="bullet"/>
      <w:lvlText w:val=""/>
      <w:lvlJc w:val="left"/>
      <w:pPr>
        <w:tabs>
          <w:tab w:val="num" w:pos="2160"/>
        </w:tabs>
        <w:ind w:left="2160" w:hanging="360"/>
      </w:pPr>
      <w:rPr>
        <w:rFonts w:ascii="Wingdings 3" w:hAnsi="Wingdings 3" w:hint="default"/>
      </w:rPr>
    </w:lvl>
    <w:lvl w:ilvl="3" w:tplc="54AEF23A" w:tentative="1">
      <w:start w:val="1"/>
      <w:numFmt w:val="bullet"/>
      <w:lvlText w:val=""/>
      <w:lvlJc w:val="left"/>
      <w:pPr>
        <w:tabs>
          <w:tab w:val="num" w:pos="2880"/>
        </w:tabs>
        <w:ind w:left="2880" w:hanging="360"/>
      </w:pPr>
      <w:rPr>
        <w:rFonts w:ascii="Wingdings 3" w:hAnsi="Wingdings 3" w:hint="default"/>
      </w:rPr>
    </w:lvl>
    <w:lvl w:ilvl="4" w:tplc="1DCA42BA" w:tentative="1">
      <w:start w:val="1"/>
      <w:numFmt w:val="bullet"/>
      <w:lvlText w:val=""/>
      <w:lvlJc w:val="left"/>
      <w:pPr>
        <w:tabs>
          <w:tab w:val="num" w:pos="3600"/>
        </w:tabs>
        <w:ind w:left="3600" w:hanging="360"/>
      </w:pPr>
      <w:rPr>
        <w:rFonts w:ascii="Wingdings 3" w:hAnsi="Wingdings 3" w:hint="default"/>
      </w:rPr>
    </w:lvl>
    <w:lvl w:ilvl="5" w:tplc="6FB00B6C" w:tentative="1">
      <w:start w:val="1"/>
      <w:numFmt w:val="bullet"/>
      <w:lvlText w:val=""/>
      <w:lvlJc w:val="left"/>
      <w:pPr>
        <w:tabs>
          <w:tab w:val="num" w:pos="4320"/>
        </w:tabs>
        <w:ind w:left="4320" w:hanging="360"/>
      </w:pPr>
      <w:rPr>
        <w:rFonts w:ascii="Wingdings 3" w:hAnsi="Wingdings 3" w:hint="default"/>
      </w:rPr>
    </w:lvl>
    <w:lvl w:ilvl="6" w:tplc="AFA86E0A" w:tentative="1">
      <w:start w:val="1"/>
      <w:numFmt w:val="bullet"/>
      <w:lvlText w:val=""/>
      <w:lvlJc w:val="left"/>
      <w:pPr>
        <w:tabs>
          <w:tab w:val="num" w:pos="5040"/>
        </w:tabs>
        <w:ind w:left="5040" w:hanging="360"/>
      </w:pPr>
      <w:rPr>
        <w:rFonts w:ascii="Wingdings 3" w:hAnsi="Wingdings 3" w:hint="default"/>
      </w:rPr>
    </w:lvl>
    <w:lvl w:ilvl="7" w:tplc="F61C553C" w:tentative="1">
      <w:start w:val="1"/>
      <w:numFmt w:val="bullet"/>
      <w:lvlText w:val=""/>
      <w:lvlJc w:val="left"/>
      <w:pPr>
        <w:tabs>
          <w:tab w:val="num" w:pos="5760"/>
        </w:tabs>
        <w:ind w:left="5760" w:hanging="360"/>
      </w:pPr>
      <w:rPr>
        <w:rFonts w:ascii="Wingdings 3" w:hAnsi="Wingdings 3" w:hint="default"/>
      </w:rPr>
    </w:lvl>
    <w:lvl w:ilvl="8" w:tplc="652CD118" w:tentative="1">
      <w:start w:val="1"/>
      <w:numFmt w:val="bullet"/>
      <w:lvlText w:val=""/>
      <w:lvlJc w:val="left"/>
      <w:pPr>
        <w:tabs>
          <w:tab w:val="num" w:pos="6480"/>
        </w:tabs>
        <w:ind w:left="6480" w:hanging="360"/>
      </w:pPr>
      <w:rPr>
        <w:rFonts w:ascii="Wingdings 3" w:hAnsi="Wingdings 3" w:hint="default"/>
      </w:rPr>
    </w:lvl>
  </w:abstractNum>
  <w:abstractNum w:abstractNumId="25" w15:restartNumberingAfterBreak="0">
    <w:nsid w:val="59A56161"/>
    <w:multiLevelType w:val="hybridMultilevel"/>
    <w:tmpl w:val="2BFE26E2"/>
    <w:lvl w:ilvl="0" w:tplc="019C285E">
      <w:start w:val="1"/>
      <w:numFmt w:val="bullet"/>
      <w:lvlText w:val=""/>
      <w:lvlJc w:val="left"/>
      <w:pPr>
        <w:tabs>
          <w:tab w:val="num" w:pos="720"/>
        </w:tabs>
        <w:ind w:left="720" w:hanging="360"/>
      </w:pPr>
      <w:rPr>
        <w:rFonts w:ascii="Wingdings 3" w:hAnsi="Wingdings 3" w:hint="default"/>
      </w:rPr>
    </w:lvl>
    <w:lvl w:ilvl="1" w:tplc="11E4CD44" w:tentative="1">
      <w:start w:val="1"/>
      <w:numFmt w:val="bullet"/>
      <w:lvlText w:val=""/>
      <w:lvlJc w:val="left"/>
      <w:pPr>
        <w:tabs>
          <w:tab w:val="num" w:pos="1440"/>
        </w:tabs>
        <w:ind w:left="1440" w:hanging="360"/>
      </w:pPr>
      <w:rPr>
        <w:rFonts w:ascii="Wingdings 3" w:hAnsi="Wingdings 3" w:hint="default"/>
      </w:rPr>
    </w:lvl>
    <w:lvl w:ilvl="2" w:tplc="666E0CFE" w:tentative="1">
      <w:start w:val="1"/>
      <w:numFmt w:val="bullet"/>
      <w:lvlText w:val=""/>
      <w:lvlJc w:val="left"/>
      <w:pPr>
        <w:tabs>
          <w:tab w:val="num" w:pos="2160"/>
        </w:tabs>
        <w:ind w:left="2160" w:hanging="360"/>
      </w:pPr>
      <w:rPr>
        <w:rFonts w:ascii="Wingdings 3" w:hAnsi="Wingdings 3" w:hint="default"/>
      </w:rPr>
    </w:lvl>
    <w:lvl w:ilvl="3" w:tplc="ECA86750" w:tentative="1">
      <w:start w:val="1"/>
      <w:numFmt w:val="bullet"/>
      <w:lvlText w:val=""/>
      <w:lvlJc w:val="left"/>
      <w:pPr>
        <w:tabs>
          <w:tab w:val="num" w:pos="2880"/>
        </w:tabs>
        <w:ind w:left="2880" w:hanging="360"/>
      </w:pPr>
      <w:rPr>
        <w:rFonts w:ascii="Wingdings 3" w:hAnsi="Wingdings 3" w:hint="default"/>
      </w:rPr>
    </w:lvl>
    <w:lvl w:ilvl="4" w:tplc="FC2E259A" w:tentative="1">
      <w:start w:val="1"/>
      <w:numFmt w:val="bullet"/>
      <w:lvlText w:val=""/>
      <w:lvlJc w:val="left"/>
      <w:pPr>
        <w:tabs>
          <w:tab w:val="num" w:pos="3600"/>
        </w:tabs>
        <w:ind w:left="3600" w:hanging="360"/>
      </w:pPr>
      <w:rPr>
        <w:rFonts w:ascii="Wingdings 3" w:hAnsi="Wingdings 3" w:hint="default"/>
      </w:rPr>
    </w:lvl>
    <w:lvl w:ilvl="5" w:tplc="EB9A19AC" w:tentative="1">
      <w:start w:val="1"/>
      <w:numFmt w:val="bullet"/>
      <w:lvlText w:val=""/>
      <w:lvlJc w:val="left"/>
      <w:pPr>
        <w:tabs>
          <w:tab w:val="num" w:pos="4320"/>
        </w:tabs>
        <w:ind w:left="4320" w:hanging="360"/>
      </w:pPr>
      <w:rPr>
        <w:rFonts w:ascii="Wingdings 3" w:hAnsi="Wingdings 3" w:hint="default"/>
      </w:rPr>
    </w:lvl>
    <w:lvl w:ilvl="6" w:tplc="5FB62812" w:tentative="1">
      <w:start w:val="1"/>
      <w:numFmt w:val="bullet"/>
      <w:lvlText w:val=""/>
      <w:lvlJc w:val="left"/>
      <w:pPr>
        <w:tabs>
          <w:tab w:val="num" w:pos="5040"/>
        </w:tabs>
        <w:ind w:left="5040" w:hanging="360"/>
      </w:pPr>
      <w:rPr>
        <w:rFonts w:ascii="Wingdings 3" w:hAnsi="Wingdings 3" w:hint="default"/>
      </w:rPr>
    </w:lvl>
    <w:lvl w:ilvl="7" w:tplc="831A0666" w:tentative="1">
      <w:start w:val="1"/>
      <w:numFmt w:val="bullet"/>
      <w:lvlText w:val=""/>
      <w:lvlJc w:val="left"/>
      <w:pPr>
        <w:tabs>
          <w:tab w:val="num" w:pos="5760"/>
        </w:tabs>
        <w:ind w:left="5760" w:hanging="360"/>
      </w:pPr>
      <w:rPr>
        <w:rFonts w:ascii="Wingdings 3" w:hAnsi="Wingdings 3" w:hint="default"/>
      </w:rPr>
    </w:lvl>
    <w:lvl w:ilvl="8" w:tplc="CFA477C0" w:tentative="1">
      <w:start w:val="1"/>
      <w:numFmt w:val="bullet"/>
      <w:lvlText w:val=""/>
      <w:lvlJc w:val="left"/>
      <w:pPr>
        <w:tabs>
          <w:tab w:val="num" w:pos="6480"/>
        </w:tabs>
        <w:ind w:left="6480" w:hanging="360"/>
      </w:pPr>
      <w:rPr>
        <w:rFonts w:ascii="Wingdings 3" w:hAnsi="Wingdings 3" w:hint="default"/>
      </w:rPr>
    </w:lvl>
  </w:abstractNum>
  <w:abstractNum w:abstractNumId="26" w15:restartNumberingAfterBreak="0">
    <w:nsid w:val="5C102DA6"/>
    <w:multiLevelType w:val="hybridMultilevel"/>
    <w:tmpl w:val="C92079E6"/>
    <w:lvl w:ilvl="0" w:tplc="DB9A5C24">
      <w:start w:val="1"/>
      <w:numFmt w:val="bullet"/>
      <w:lvlText w:val=""/>
      <w:lvlJc w:val="left"/>
      <w:pPr>
        <w:tabs>
          <w:tab w:val="num" w:pos="720"/>
        </w:tabs>
        <w:ind w:left="720" w:hanging="360"/>
      </w:pPr>
      <w:rPr>
        <w:rFonts w:ascii="Wingdings 3" w:hAnsi="Wingdings 3" w:hint="default"/>
      </w:rPr>
    </w:lvl>
    <w:lvl w:ilvl="1" w:tplc="2E3AB2E8" w:tentative="1">
      <w:start w:val="1"/>
      <w:numFmt w:val="bullet"/>
      <w:lvlText w:val=""/>
      <w:lvlJc w:val="left"/>
      <w:pPr>
        <w:tabs>
          <w:tab w:val="num" w:pos="1440"/>
        </w:tabs>
        <w:ind w:left="1440" w:hanging="360"/>
      </w:pPr>
      <w:rPr>
        <w:rFonts w:ascii="Wingdings 3" w:hAnsi="Wingdings 3" w:hint="default"/>
      </w:rPr>
    </w:lvl>
    <w:lvl w:ilvl="2" w:tplc="E5882C7E" w:tentative="1">
      <w:start w:val="1"/>
      <w:numFmt w:val="bullet"/>
      <w:lvlText w:val=""/>
      <w:lvlJc w:val="left"/>
      <w:pPr>
        <w:tabs>
          <w:tab w:val="num" w:pos="2160"/>
        </w:tabs>
        <w:ind w:left="2160" w:hanging="360"/>
      </w:pPr>
      <w:rPr>
        <w:rFonts w:ascii="Wingdings 3" w:hAnsi="Wingdings 3" w:hint="default"/>
      </w:rPr>
    </w:lvl>
    <w:lvl w:ilvl="3" w:tplc="2A0680F6" w:tentative="1">
      <w:start w:val="1"/>
      <w:numFmt w:val="bullet"/>
      <w:lvlText w:val=""/>
      <w:lvlJc w:val="left"/>
      <w:pPr>
        <w:tabs>
          <w:tab w:val="num" w:pos="2880"/>
        </w:tabs>
        <w:ind w:left="2880" w:hanging="360"/>
      </w:pPr>
      <w:rPr>
        <w:rFonts w:ascii="Wingdings 3" w:hAnsi="Wingdings 3" w:hint="default"/>
      </w:rPr>
    </w:lvl>
    <w:lvl w:ilvl="4" w:tplc="EA9CEBF4" w:tentative="1">
      <w:start w:val="1"/>
      <w:numFmt w:val="bullet"/>
      <w:lvlText w:val=""/>
      <w:lvlJc w:val="left"/>
      <w:pPr>
        <w:tabs>
          <w:tab w:val="num" w:pos="3600"/>
        </w:tabs>
        <w:ind w:left="3600" w:hanging="360"/>
      </w:pPr>
      <w:rPr>
        <w:rFonts w:ascii="Wingdings 3" w:hAnsi="Wingdings 3" w:hint="default"/>
      </w:rPr>
    </w:lvl>
    <w:lvl w:ilvl="5" w:tplc="84DC55E2" w:tentative="1">
      <w:start w:val="1"/>
      <w:numFmt w:val="bullet"/>
      <w:lvlText w:val=""/>
      <w:lvlJc w:val="left"/>
      <w:pPr>
        <w:tabs>
          <w:tab w:val="num" w:pos="4320"/>
        </w:tabs>
        <w:ind w:left="4320" w:hanging="360"/>
      </w:pPr>
      <w:rPr>
        <w:rFonts w:ascii="Wingdings 3" w:hAnsi="Wingdings 3" w:hint="default"/>
      </w:rPr>
    </w:lvl>
    <w:lvl w:ilvl="6" w:tplc="1800FB60" w:tentative="1">
      <w:start w:val="1"/>
      <w:numFmt w:val="bullet"/>
      <w:lvlText w:val=""/>
      <w:lvlJc w:val="left"/>
      <w:pPr>
        <w:tabs>
          <w:tab w:val="num" w:pos="5040"/>
        </w:tabs>
        <w:ind w:left="5040" w:hanging="360"/>
      </w:pPr>
      <w:rPr>
        <w:rFonts w:ascii="Wingdings 3" w:hAnsi="Wingdings 3" w:hint="default"/>
      </w:rPr>
    </w:lvl>
    <w:lvl w:ilvl="7" w:tplc="565C991A" w:tentative="1">
      <w:start w:val="1"/>
      <w:numFmt w:val="bullet"/>
      <w:lvlText w:val=""/>
      <w:lvlJc w:val="left"/>
      <w:pPr>
        <w:tabs>
          <w:tab w:val="num" w:pos="5760"/>
        </w:tabs>
        <w:ind w:left="5760" w:hanging="360"/>
      </w:pPr>
      <w:rPr>
        <w:rFonts w:ascii="Wingdings 3" w:hAnsi="Wingdings 3" w:hint="default"/>
      </w:rPr>
    </w:lvl>
    <w:lvl w:ilvl="8" w:tplc="09C64C82"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5F5871F9"/>
    <w:multiLevelType w:val="hybridMultilevel"/>
    <w:tmpl w:val="611E2442"/>
    <w:lvl w:ilvl="0" w:tplc="751897BA">
      <w:start w:val="1"/>
      <w:numFmt w:val="bullet"/>
      <w:lvlText w:val=""/>
      <w:lvlJc w:val="left"/>
      <w:pPr>
        <w:tabs>
          <w:tab w:val="num" w:pos="720"/>
        </w:tabs>
        <w:ind w:left="720" w:hanging="360"/>
      </w:pPr>
      <w:rPr>
        <w:rFonts w:ascii="Wingdings 3" w:hAnsi="Wingdings 3" w:hint="default"/>
      </w:rPr>
    </w:lvl>
    <w:lvl w:ilvl="1" w:tplc="695431E2" w:tentative="1">
      <w:start w:val="1"/>
      <w:numFmt w:val="bullet"/>
      <w:lvlText w:val=""/>
      <w:lvlJc w:val="left"/>
      <w:pPr>
        <w:tabs>
          <w:tab w:val="num" w:pos="1440"/>
        </w:tabs>
        <w:ind w:left="1440" w:hanging="360"/>
      </w:pPr>
      <w:rPr>
        <w:rFonts w:ascii="Wingdings 3" w:hAnsi="Wingdings 3" w:hint="default"/>
      </w:rPr>
    </w:lvl>
    <w:lvl w:ilvl="2" w:tplc="0922B436" w:tentative="1">
      <w:start w:val="1"/>
      <w:numFmt w:val="bullet"/>
      <w:lvlText w:val=""/>
      <w:lvlJc w:val="left"/>
      <w:pPr>
        <w:tabs>
          <w:tab w:val="num" w:pos="2160"/>
        </w:tabs>
        <w:ind w:left="2160" w:hanging="360"/>
      </w:pPr>
      <w:rPr>
        <w:rFonts w:ascii="Wingdings 3" w:hAnsi="Wingdings 3" w:hint="default"/>
      </w:rPr>
    </w:lvl>
    <w:lvl w:ilvl="3" w:tplc="33468EEC" w:tentative="1">
      <w:start w:val="1"/>
      <w:numFmt w:val="bullet"/>
      <w:lvlText w:val=""/>
      <w:lvlJc w:val="left"/>
      <w:pPr>
        <w:tabs>
          <w:tab w:val="num" w:pos="2880"/>
        </w:tabs>
        <w:ind w:left="2880" w:hanging="360"/>
      </w:pPr>
      <w:rPr>
        <w:rFonts w:ascii="Wingdings 3" w:hAnsi="Wingdings 3" w:hint="default"/>
      </w:rPr>
    </w:lvl>
    <w:lvl w:ilvl="4" w:tplc="5C66135A" w:tentative="1">
      <w:start w:val="1"/>
      <w:numFmt w:val="bullet"/>
      <w:lvlText w:val=""/>
      <w:lvlJc w:val="left"/>
      <w:pPr>
        <w:tabs>
          <w:tab w:val="num" w:pos="3600"/>
        </w:tabs>
        <w:ind w:left="3600" w:hanging="360"/>
      </w:pPr>
      <w:rPr>
        <w:rFonts w:ascii="Wingdings 3" w:hAnsi="Wingdings 3" w:hint="default"/>
      </w:rPr>
    </w:lvl>
    <w:lvl w:ilvl="5" w:tplc="E20CA210" w:tentative="1">
      <w:start w:val="1"/>
      <w:numFmt w:val="bullet"/>
      <w:lvlText w:val=""/>
      <w:lvlJc w:val="left"/>
      <w:pPr>
        <w:tabs>
          <w:tab w:val="num" w:pos="4320"/>
        </w:tabs>
        <w:ind w:left="4320" w:hanging="360"/>
      </w:pPr>
      <w:rPr>
        <w:rFonts w:ascii="Wingdings 3" w:hAnsi="Wingdings 3" w:hint="default"/>
      </w:rPr>
    </w:lvl>
    <w:lvl w:ilvl="6" w:tplc="D4181F6E" w:tentative="1">
      <w:start w:val="1"/>
      <w:numFmt w:val="bullet"/>
      <w:lvlText w:val=""/>
      <w:lvlJc w:val="left"/>
      <w:pPr>
        <w:tabs>
          <w:tab w:val="num" w:pos="5040"/>
        </w:tabs>
        <w:ind w:left="5040" w:hanging="360"/>
      </w:pPr>
      <w:rPr>
        <w:rFonts w:ascii="Wingdings 3" w:hAnsi="Wingdings 3" w:hint="default"/>
      </w:rPr>
    </w:lvl>
    <w:lvl w:ilvl="7" w:tplc="09767076" w:tentative="1">
      <w:start w:val="1"/>
      <w:numFmt w:val="bullet"/>
      <w:lvlText w:val=""/>
      <w:lvlJc w:val="left"/>
      <w:pPr>
        <w:tabs>
          <w:tab w:val="num" w:pos="5760"/>
        </w:tabs>
        <w:ind w:left="5760" w:hanging="360"/>
      </w:pPr>
      <w:rPr>
        <w:rFonts w:ascii="Wingdings 3" w:hAnsi="Wingdings 3" w:hint="default"/>
      </w:rPr>
    </w:lvl>
    <w:lvl w:ilvl="8" w:tplc="B7BE677C" w:tentative="1">
      <w:start w:val="1"/>
      <w:numFmt w:val="bullet"/>
      <w:lvlText w:val=""/>
      <w:lvlJc w:val="left"/>
      <w:pPr>
        <w:tabs>
          <w:tab w:val="num" w:pos="6480"/>
        </w:tabs>
        <w:ind w:left="6480" w:hanging="360"/>
      </w:pPr>
      <w:rPr>
        <w:rFonts w:ascii="Wingdings 3" w:hAnsi="Wingdings 3" w:hint="default"/>
      </w:rPr>
    </w:lvl>
  </w:abstractNum>
  <w:abstractNum w:abstractNumId="28" w15:restartNumberingAfterBreak="0">
    <w:nsid w:val="60B96741"/>
    <w:multiLevelType w:val="hybridMultilevel"/>
    <w:tmpl w:val="C598F55C"/>
    <w:lvl w:ilvl="0" w:tplc="85CA2984">
      <w:start w:val="1"/>
      <w:numFmt w:val="bullet"/>
      <w:lvlText w:val=""/>
      <w:lvlJc w:val="left"/>
      <w:pPr>
        <w:tabs>
          <w:tab w:val="num" w:pos="720"/>
        </w:tabs>
        <w:ind w:left="720" w:hanging="360"/>
      </w:pPr>
      <w:rPr>
        <w:rFonts w:ascii="Wingdings 3" w:hAnsi="Wingdings 3" w:hint="default"/>
      </w:rPr>
    </w:lvl>
    <w:lvl w:ilvl="1" w:tplc="25905F0C" w:tentative="1">
      <w:start w:val="1"/>
      <w:numFmt w:val="bullet"/>
      <w:lvlText w:val=""/>
      <w:lvlJc w:val="left"/>
      <w:pPr>
        <w:tabs>
          <w:tab w:val="num" w:pos="1440"/>
        </w:tabs>
        <w:ind w:left="1440" w:hanging="360"/>
      </w:pPr>
      <w:rPr>
        <w:rFonts w:ascii="Wingdings 3" w:hAnsi="Wingdings 3" w:hint="default"/>
      </w:rPr>
    </w:lvl>
    <w:lvl w:ilvl="2" w:tplc="AEBC187E" w:tentative="1">
      <w:start w:val="1"/>
      <w:numFmt w:val="bullet"/>
      <w:lvlText w:val=""/>
      <w:lvlJc w:val="left"/>
      <w:pPr>
        <w:tabs>
          <w:tab w:val="num" w:pos="2160"/>
        </w:tabs>
        <w:ind w:left="2160" w:hanging="360"/>
      </w:pPr>
      <w:rPr>
        <w:rFonts w:ascii="Wingdings 3" w:hAnsi="Wingdings 3" w:hint="default"/>
      </w:rPr>
    </w:lvl>
    <w:lvl w:ilvl="3" w:tplc="DD267590" w:tentative="1">
      <w:start w:val="1"/>
      <w:numFmt w:val="bullet"/>
      <w:lvlText w:val=""/>
      <w:lvlJc w:val="left"/>
      <w:pPr>
        <w:tabs>
          <w:tab w:val="num" w:pos="2880"/>
        </w:tabs>
        <w:ind w:left="2880" w:hanging="360"/>
      </w:pPr>
      <w:rPr>
        <w:rFonts w:ascii="Wingdings 3" w:hAnsi="Wingdings 3" w:hint="default"/>
      </w:rPr>
    </w:lvl>
    <w:lvl w:ilvl="4" w:tplc="A9908B58" w:tentative="1">
      <w:start w:val="1"/>
      <w:numFmt w:val="bullet"/>
      <w:lvlText w:val=""/>
      <w:lvlJc w:val="left"/>
      <w:pPr>
        <w:tabs>
          <w:tab w:val="num" w:pos="3600"/>
        </w:tabs>
        <w:ind w:left="3600" w:hanging="360"/>
      </w:pPr>
      <w:rPr>
        <w:rFonts w:ascii="Wingdings 3" w:hAnsi="Wingdings 3" w:hint="default"/>
      </w:rPr>
    </w:lvl>
    <w:lvl w:ilvl="5" w:tplc="24620EEE" w:tentative="1">
      <w:start w:val="1"/>
      <w:numFmt w:val="bullet"/>
      <w:lvlText w:val=""/>
      <w:lvlJc w:val="left"/>
      <w:pPr>
        <w:tabs>
          <w:tab w:val="num" w:pos="4320"/>
        </w:tabs>
        <w:ind w:left="4320" w:hanging="360"/>
      </w:pPr>
      <w:rPr>
        <w:rFonts w:ascii="Wingdings 3" w:hAnsi="Wingdings 3" w:hint="default"/>
      </w:rPr>
    </w:lvl>
    <w:lvl w:ilvl="6" w:tplc="29E809DA" w:tentative="1">
      <w:start w:val="1"/>
      <w:numFmt w:val="bullet"/>
      <w:lvlText w:val=""/>
      <w:lvlJc w:val="left"/>
      <w:pPr>
        <w:tabs>
          <w:tab w:val="num" w:pos="5040"/>
        </w:tabs>
        <w:ind w:left="5040" w:hanging="360"/>
      </w:pPr>
      <w:rPr>
        <w:rFonts w:ascii="Wingdings 3" w:hAnsi="Wingdings 3" w:hint="default"/>
      </w:rPr>
    </w:lvl>
    <w:lvl w:ilvl="7" w:tplc="330CE4C8" w:tentative="1">
      <w:start w:val="1"/>
      <w:numFmt w:val="bullet"/>
      <w:lvlText w:val=""/>
      <w:lvlJc w:val="left"/>
      <w:pPr>
        <w:tabs>
          <w:tab w:val="num" w:pos="5760"/>
        </w:tabs>
        <w:ind w:left="5760" w:hanging="360"/>
      </w:pPr>
      <w:rPr>
        <w:rFonts w:ascii="Wingdings 3" w:hAnsi="Wingdings 3" w:hint="default"/>
      </w:rPr>
    </w:lvl>
    <w:lvl w:ilvl="8" w:tplc="61705E36" w:tentative="1">
      <w:start w:val="1"/>
      <w:numFmt w:val="bullet"/>
      <w:lvlText w:val=""/>
      <w:lvlJc w:val="left"/>
      <w:pPr>
        <w:tabs>
          <w:tab w:val="num" w:pos="6480"/>
        </w:tabs>
        <w:ind w:left="6480" w:hanging="360"/>
      </w:pPr>
      <w:rPr>
        <w:rFonts w:ascii="Wingdings 3" w:hAnsi="Wingdings 3" w:hint="default"/>
      </w:rPr>
    </w:lvl>
  </w:abstractNum>
  <w:abstractNum w:abstractNumId="29" w15:restartNumberingAfterBreak="0">
    <w:nsid w:val="6900626B"/>
    <w:multiLevelType w:val="multilevel"/>
    <w:tmpl w:val="FA9E4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617B8C"/>
    <w:multiLevelType w:val="hybridMultilevel"/>
    <w:tmpl w:val="DD1C209E"/>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31" w15:restartNumberingAfterBreak="0">
    <w:nsid w:val="6FF020F1"/>
    <w:multiLevelType w:val="hybridMultilevel"/>
    <w:tmpl w:val="F78C6BF0"/>
    <w:lvl w:ilvl="0" w:tplc="625E34AA">
      <w:start w:val="1"/>
      <w:numFmt w:val="bullet"/>
      <w:lvlText w:val=""/>
      <w:lvlJc w:val="left"/>
      <w:pPr>
        <w:tabs>
          <w:tab w:val="num" w:pos="720"/>
        </w:tabs>
        <w:ind w:left="720" w:hanging="360"/>
      </w:pPr>
      <w:rPr>
        <w:rFonts w:ascii="Wingdings 3" w:hAnsi="Wingdings 3" w:hint="default"/>
      </w:rPr>
    </w:lvl>
    <w:lvl w:ilvl="1" w:tplc="D3B8BB9A" w:tentative="1">
      <w:start w:val="1"/>
      <w:numFmt w:val="bullet"/>
      <w:lvlText w:val=""/>
      <w:lvlJc w:val="left"/>
      <w:pPr>
        <w:tabs>
          <w:tab w:val="num" w:pos="1440"/>
        </w:tabs>
        <w:ind w:left="1440" w:hanging="360"/>
      </w:pPr>
      <w:rPr>
        <w:rFonts w:ascii="Wingdings 3" w:hAnsi="Wingdings 3" w:hint="default"/>
      </w:rPr>
    </w:lvl>
    <w:lvl w:ilvl="2" w:tplc="A28A10CA" w:tentative="1">
      <w:start w:val="1"/>
      <w:numFmt w:val="bullet"/>
      <w:lvlText w:val=""/>
      <w:lvlJc w:val="left"/>
      <w:pPr>
        <w:tabs>
          <w:tab w:val="num" w:pos="2160"/>
        </w:tabs>
        <w:ind w:left="2160" w:hanging="360"/>
      </w:pPr>
      <w:rPr>
        <w:rFonts w:ascii="Wingdings 3" w:hAnsi="Wingdings 3" w:hint="default"/>
      </w:rPr>
    </w:lvl>
    <w:lvl w:ilvl="3" w:tplc="564C1CEA" w:tentative="1">
      <w:start w:val="1"/>
      <w:numFmt w:val="bullet"/>
      <w:lvlText w:val=""/>
      <w:lvlJc w:val="left"/>
      <w:pPr>
        <w:tabs>
          <w:tab w:val="num" w:pos="2880"/>
        </w:tabs>
        <w:ind w:left="2880" w:hanging="360"/>
      </w:pPr>
      <w:rPr>
        <w:rFonts w:ascii="Wingdings 3" w:hAnsi="Wingdings 3" w:hint="default"/>
      </w:rPr>
    </w:lvl>
    <w:lvl w:ilvl="4" w:tplc="9BA8E888" w:tentative="1">
      <w:start w:val="1"/>
      <w:numFmt w:val="bullet"/>
      <w:lvlText w:val=""/>
      <w:lvlJc w:val="left"/>
      <w:pPr>
        <w:tabs>
          <w:tab w:val="num" w:pos="3600"/>
        </w:tabs>
        <w:ind w:left="3600" w:hanging="360"/>
      </w:pPr>
      <w:rPr>
        <w:rFonts w:ascii="Wingdings 3" w:hAnsi="Wingdings 3" w:hint="default"/>
      </w:rPr>
    </w:lvl>
    <w:lvl w:ilvl="5" w:tplc="508A217A" w:tentative="1">
      <w:start w:val="1"/>
      <w:numFmt w:val="bullet"/>
      <w:lvlText w:val=""/>
      <w:lvlJc w:val="left"/>
      <w:pPr>
        <w:tabs>
          <w:tab w:val="num" w:pos="4320"/>
        </w:tabs>
        <w:ind w:left="4320" w:hanging="360"/>
      </w:pPr>
      <w:rPr>
        <w:rFonts w:ascii="Wingdings 3" w:hAnsi="Wingdings 3" w:hint="default"/>
      </w:rPr>
    </w:lvl>
    <w:lvl w:ilvl="6" w:tplc="ACE8EA46" w:tentative="1">
      <w:start w:val="1"/>
      <w:numFmt w:val="bullet"/>
      <w:lvlText w:val=""/>
      <w:lvlJc w:val="left"/>
      <w:pPr>
        <w:tabs>
          <w:tab w:val="num" w:pos="5040"/>
        </w:tabs>
        <w:ind w:left="5040" w:hanging="360"/>
      </w:pPr>
      <w:rPr>
        <w:rFonts w:ascii="Wingdings 3" w:hAnsi="Wingdings 3" w:hint="default"/>
      </w:rPr>
    </w:lvl>
    <w:lvl w:ilvl="7" w:tplc="22F6A5FA" w:tentative="1">
      <w:start w:val="1"/>
      <w:numFmt w:val="bullet"/>
      <w:lvlText w:val=""/>
      <w:lvlJc w:val="left"/>
      <w:pPr>
        <w:tabs>
          <w:tab w:val="num" w:pos="5760"/>
        </w:tabs>
        <w:ind w:left="5760" w:hanging="360"/>
      </w:pPr>
      <w:rPr>
        <w:rFonts w:ascii="Wingdings 3" w:hAnsi="Wingdings 3" w:hint="default"/>
      </w:rPr>
    </w:lvl>
    <w:lvl w:ilvl="8" w:tplc="E6DC236E" w:tentative="1">
      <w:start w:val="1"/>
      <w:numFmt w:val="bullet"/>
      <w:lvlText w:val=""/>
      <w:lvlJc w:val="left"/>
      <w:pPr>
        <w:tabs>
          <w:tab w:val="num" w:pos="6480"/>
        </w:tabs>
        <w:ind w:left="6480" w:hanging="360"/>
      </w:pPr>
      <w:rPr>
        <w:rFonts w:ascii="Wingdings 3" w:hAnsi="Wingdings 3" w:hint="default"/>
      </w:rPr>
    </w:lvl>
  </w:abstractNum>
  <w:abstractNum w:abstractNumId="32" w15:restartNumberingAfterBreak="0">
    <w:nsid w:val="709733FD"/>
    <w:multiLevelType w:val="hybridMultilevel"/>
    <w:tmpl w:val="FE6E551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3" w15:restartNumberingAfterBreak="0">
    <w:nsid w:val="76FE4A61"/>
    <w:multiLevelType w:val="hybridMultilevel"/>
    <w:tmpl w:val="7A882F9A"/>
    <w:lvl w:ilvl="0" w:tplc="7A0A510C">
      <w:start w:val="1"/>
      <w:numFmt w:val="bullet"/>
      <w:lvlText w:val=""/>
      <w:lvlJc w:val="left"/>
      <w:pPr>
        <w:tabs>
          <w:tab w:val="num" w:pos="720"/>
        </w:tabs>
        <w:ind w:left="720" w:hanging="360"/>
      </w:pPr>
      <w:rPr>
        <w:rFonts w:ascii="Wingdings 3" w:hAnsi="Wingdings 3" w:hint="default"/>
      </w:rPr>
    </w:lvl>
    <w:lvl w:ilvl="1" w:tplc="99446018" w:tentative="1">
      <w:start w:val="1"/>
      <w:numFmt w:val="bullet"/>
      <w:lvlText w:val=""/>
      <w:lvlJc w:val="left"/>
      <w:pPr>
        <w:tabs>
          <w:tab w:val="num" w:pos="1440"/>
        </w:tabs>
        <w:ind w:left="1440" w:hanging="360"/>
      </w:pPr>
      <w:rPr>
        <w:rFonts w:ascii="Wingdings 3" w:hAnsi="Wingdings 3" w:hint="default"/>
      </w:rPr>
    </w:lvl>
    <w:lvl w:ilvl="2" w:tplc="FFD06976" w:tentative="1">
      <w:start w:val="1"/>
      <w:numFmt w:val="bullet"/>
      <w:lvlText w:val=""/>
      <w:lvlJc w:val="left"/>
      <w:pPr>
        <w:tabs>
          <w:tab w:val="num" w:pos="2160"/>
        </w:tabs>
        <w:ind w:left="2160" w:hanging="360"/>
      </w:pPr>
      <w:rPr>
        <w:rFonts w:ascii="Wingdings 3" w:hAnsi="Wingdings 3" w:hint="default"/>
      </w:rPr>
    </w:lvl>
    <w:lvl w:ilvl="3" w:tplc="662C0BD0" w:tentative="1">
      <w:start w:val="1"/>
      <w:numFmt w:val="bullet"/>
      <w:lvlText w:val=""/>
      <w:lvlJc w:val="left"/>
      <w:pPr>
        <w:tabs>
          <w:tab w:val="num" w:pos="2880"/>
        </w:tabs>
        <w:ind w:left="2880" w:hanging="360"/>
      </w:pPr>
      <w:rPr>
        <w:rFonts w:ascii="Wingdings 3" w:hAnsi="Wingdings 3" w:hint="default"/>
      </w:rPr>
    </w:lvl>
    <w:lvl w:ilvl="4" w:tplc="7AF0A8D2" w:tentative="1">
      <w:start w:val="1"/>
      <w:numFmt w:val="bullet"/>
      <w:lvlText w:val=""/>
      <w:lvlJc w:val="left"/>
      <w:pPr>
        <w:tabs>
          <w:tab w:val="num" w:pos="3600"/>
        </w:tabs>
        <w:ind w:left="3600" w:hanging="360"/>
      </w:pPr>
      <w:rPr>
        <w:rFonts w:ascii="Wingdings 3" w:hAnsi="Wingdings 3" w:hint="default"/>
      </w:rPr>
    </w:lvl>
    <w:lvl w:ilvl="5" w:tplc="FBEAC554" w:tentative="1">
      <w:start w:val="1"/>
      <w:numFmt w:val="bullet"/>
      <w:lvlText w:val=""/>
      <w:lvlJc w:val="left"/>
      <w:pPr>
        <w:tabs>
          <w:tab w:val="num" w:pos="4320"/>
        </w:tabs>
        <w:ind w:left="4320" w:hanging="360"/>
      </w:pPr>
      <w:rPr>
        <w:rFonts w:ascii="Wingdings 3" w:hAnsi="Wingdings 3" w:hint="default"/>
      </w:rPr>
    </w:lvl>
    <w:lvl w:ilvl="6" w:tplc="DFE85A96" w:tentative="1">
      <w:start w:val="1"/>
      <w:numFmt w:val="bullet"/>
      <w:lvlText w:val=""/>
      <w:lvlJc w:val="left"/>
      <w:pPr>
        <w:tabs>
          <w:tab w:val="num" w:pos="5040"/>
        </w:tabs>
        <w:ind w:left="5040" w:hanging="360"/>
      </w:pPr>
      <w:rPr>
        <w:rFonts w:ascii="Wingdings 3" w:hAnsi="Wingdings 3" w:hint="default"/>
      </w:rPr>
    </w:lvl>
    <w:lvl w:ilvl="7" w:tplc="B6626204" w:tentative="1">
      <w:start w:val="1"/>
      <w:numFmt w:val="bullet"/>
      <w:lvlText w:val=""/>
      <w:lvlJc w:val="left"/>
      <w:pPr>
        <w:tabs>
          <w:tab w:val="num" w:pos="5760"/>
        </w:tabs>
        <w:ind w:left="5760" w:hanging="360"/>
      </w:pPr>
      <w:rPr>
        <w:rFonts w:ascii="Wingdings 3" w:hAnsi="Wingdings 3" w:hint="default"/>
      </w:rPr>
    </w:lvl>
    <w:lvl w:ilvl="8" w:tplc="9E98C94A" w:tentative="1">
      <w:start w:val="1"/>
      <w:numFmt w:val="bullet"/>
      <w:lvlText w:val=""/>
      <w:lvlJc w:val="left"/>
      <w:pPr>
        <w:tabs>
          <w:tab w:val="num" w:pos="6480"/>
        </w:tabs>
        <w:ind w:left="6480" w:hanging="360"/>
      </w:pPr>
      <w:rPr>
        <w:rFonts w:ascii="Wingdings 3" w:hAnsi="Wingdings 3" w:hint="default"/>
      </w:rPr>
    </w:lvl>
  </w:abstractNum>
  <w:abstractNum w:abstractNumId="34" w15:restartNumberingAfterBreak="0">
    <w:nsid w:val="770C68CC"/>
    <w:multiLevelType w:val="hybridMultilevel"/>
    <w:tmpl w:val="6C82182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15:restartNumberingAfterBreak="0">
    <w:nsid w:val="77FF47F4"/>
    <w:multiLevelType w:val="hybridMultilevel"/>
    <w:tmpl w:val="26C25B54"/>
    <w:lvl w:ilvl="0" w:tplc="1D56C8C0">
      <w:start w:val="1"/>
      <w:numFmt w:val="bullet"/>
      <w:lvlText w:val=""/>
      <w:lvlJc w:val="left"/>
      <w:pPr>
        <w:tabs>
          <w:tab w:val="num" w:pos="720"/>
        </w:tabs>
        <w:ind w:left="720" w:hanging="360"/>
      </w:pPr>
      <w:rPr>
        <w:rFonts w:ascii="Wingdings 3" w:hAnsi="Wingdings 3" w:hint="default"/>
      </w:rPr>
    </w:lvl>
    <w:lvl w:ilvl="1" w:tplc="EAE64126" w:tentative="1">
      <w:start w:val="1"/>
      <w:numFmt w:val="bullet"/>
      <w:lvlText w:val=""/>
      <w:lvlJc w:val="left"/>
      <w:pPr>
        <w:tabs>
          <w:tab w:val="num" w:pos="1440"/>
        </w:tabs>
        <w:ind w:left="1440" w:hanging="360"/>
      </w:pPr>
      <w:rPr>
        <w:rFonts w:ascii="Wingdings 3" w:hAnsi="Wingdings 3" w:hint="default"/>
      </w:rPr>
    </w:lvl>
    <w:lvl w:ilvl="2" w:tplc="DC3EBE2A" w:tentative="1">
      <w:start w:val="1"/>
      <w:numFmt w:val="bullet"/>
      <w:lvlText w:val=""/>
      <w:lvlJc w:val="left"/>
      <w:pPr>
        <w:tabs>
          <w:tab w:val="num" w:pos="2160"/>
        </w:tabs>
        <w:ind w:left="2160" w:hanging="360"/>
      </w:pPr>
      <w:rPr>
        <w:rFonts w:ascii="Wingdings 3" w:hAnsi="Wingdings 3" w:hint="default"/>
      </w:rPr>
    </w:lvl>
    <w:lvl w:ilvl="3" w:tplc="F0FC81CE" w:tentative="1">
      <w:start w:val="1"/>
      <w:numFmt w:val="bullet"/>
      <w:lvlText w:val=""/>
      <w:lvlJc w:val="left"/>
      <w:pPr>
        <w:tabs>
          <w:tab w:val="num" w:pos="2880"/>
        </w:tabs>
        <w:ind w:left="2880" w:hanging="360"/>
      </w:pPr>
      <w:rPr>
        <w:rFonts w:ascii="Wingdings 3" w:hAnsi="Wingdings 3" w:hint="default"/>
      </w:rPr>
    </w:lvl>
    <w:lvl w:ilvl="4" w:tplc="4BEC25EC" w:tentative="1">
      <w:start w:val="1"/>
      <w:numFmt w:val="bullet"/>
      <w:lvlText w:val=""/>
      <w:lvlJc w:val="left"/>
      <w:pPr>
        <w:tabs>
          <w:tab w:val="num" w:pos="3600"/>
        </w:tabs>
        <w:ind w:left="3600" w:hanging="360"/>
      </w:pPr>
      <w:rPr>
        <w:rFonts w:ascii="Wingdings 3" w:hAnsi="Wingdings 3" w:hint="default"/>
      </w:rPr>
    </w:lvl>
    <w:lvl w:ilvl="5" w:tplc="16760036" w:tentative="1">
      <w:start w:val="1"/>
      <w:numFmt w:val="bullet"/>
      <w:lvlText w:val=""/>
      <w:lvlJc w:val="left"/>
      <w:pPr>
        <w:tabs>
          <w:tab w:val="num" w:pos="4320"/>
        </w:tabs>
        <w:ind w:left="4320" w:hanging="360"/>
      </w:pPr>
      <w:rPr>
        <w:rFonts w:ascii="Wingdings 3" w:hAnsi="Wingdings 3" w:hint="default"/>
      </w:rPr>
    </w:lvl>
    <w:lvl w:ilvl="6" w:tplc="694E2F40" w:tentative="1">
      <w:start w:val="1"/>
      <w:numFmt w:val="bullet"/>
      <w:lvlText w:val=""/>
      <w:lvlJc w:val="left"/>
      <w:pPr>
        <w:tabs>
          <w:tab w:val="num" w:pos="5040"/>
        </w:tabs>
        <w:ind w:left="5040" w:hanging="360"/>
      </w:pPr>
      <w:rPr>
        <w:rFonts w:ascii="Wingdings 3" w:hAnsi="Wingdings 3" w:hint="default"/>
      </w:rPr>
    </w:lvl>
    <w:lvl w:ilvl="7" w:tplc="F8B869C0" w:tentative="1">
      <w:start w:val="1"/>
      <w:numFmt w:val="bullet"/>
      <w:lvlText w:val=""/>
      <w:lvlJc w:val="left"/>
      <w:pPr>
        <w:tabs>
          <w:tab w:val="num" w:pos="5760"/>
        </w:tabs>
        <w:ind w:left="5760" w:hanging="360"/>
      </w:pPr>
      <w:rPr>
        <w:rFonts w:ascii="Wingdings 3" w:hAnsi="Wingdings 3" w:hint="default"/>
      </w:rPr>
    </w:lvl>
    <w:lvl w:ilvl="8" w:tplc="665AE8B6" w:tentative="1">
      <w:start w:val="1"/>
      <w:numFmt w:val="bullet"/>
      <w:lvlText w:val=""/>
      <w:lvlJc w:val="left"/>
      <w:pPr>
        <w:tabs>
          <w:tab w:val="num" w:pos="6480"/>
        </w:tabs>
        <w:ind w:left="6480" w:hanging="360"/>
      </w:pPr>
      <w:rPr>
        <w:rFonts w:ascii="Wingdings 3" w:hAnsi="Wingdings 3" w:hint="default"/>
      </w:rPr>
    </w:lvl>
  </w:abstractNum>
  <w:abstractNum w:abstractNumId="36" w15:restartNumberingAfterBreak="0">
    <w:nsid w:val="78A776C4"/>
    <w:multiLevelType w:val="hybridMultilevel"/>
    <w:tmpl w:val="0E263C0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7" w15:restartNumberingAfterBreak="0">
    <w:nsid w:val="78FA53CC"/>
    <w:multiLevelType w:val="hybridMultilevel"/>
    <w:tmpl w:val="EAA0B988"/>
    <w:lvl w:ilvl="0" w:tplc="2FFE91E8">
      <w:start w:val="1"/>
      <w:numFmt w:val="bullet"/>
      <w:lvlText w:val=""/>
      <w:lvlJc w:val="left"/>
      <w:pPr>
        <w:tabs>
          <w:tab w:val="num" w:pos="720"/>
        </w:tabs>
        <w:ind w:left="720" w:hanging="360"/>
      </w:pPr>
      <w:rPr>
        <w:rFonts w:ascii="Wingdings 3" w:hAnsi="Wingdings 3" w:hint="default"/>
      </w:rPr>
    </w:lvl>
    <w:lvl w:ilvl="1" w:tplc="1BBE9688" w:tentative="1">
      <w:start w:val="1"/>
      <w:numFmt w:val="bullet"/>
      <w:lvlText w:val=""/>
      <w:lvlJc w:val="left"/>
      <w:pPr>
        <w:tabs>
          <w:tab w:val="num" w:pos="1440"/>
        </w:tabs>
        <w:ind w:left="1440" w:hanging="360"/>
      </w:pPr>
      <w:rPr>
        <w:rFonts w:ascii="Wingdings 3" w:hAnsi="Wingdings 3" w:hint="default"/>
      </w:rPr>
    </w:lvl>
    <w:lvl w:ilvl="2" w:tplc="55EA50BC" w:tentative="1">
      <w:start w:val="1"/>
      <w:numFmt w:val="bullet"/>
      <w:lvlText w:val=""/>
      <w:lvlJc w:val="left"/>
      <w:pPr>
        <w:tabs>
          <w:tab w:val="num" w:pos="2160"/>
        </w:tabs>
        <w:ind w:left="2160" w:hanging="360"/>
      </w:pPr>
      <w:rPr>
        <w:rFonts w:ascii="Wingdings 3" w:hAnsi="Wingdings 3" w:hint="default"/>
      </w:rPr>
    </w:lvl>
    <w:lvl w:ilvl="3" w:tplc="C6486EC4" w:tentative="1">
      <w:start w:val="1"/>
      <w:numFmt w:val="bullet"/>
      <w:lvlText w:val=""/>
      <w:lvlJc w:val="left"/>
      <w:pPr>
        <w:tabs>
          <w:tab w:val="num" w:pos="2880"/>
        </w:tabs>
        <w:ind w:left="2880" w:hanging="360"/>
      </w:pPr>
      <w:rPr>
        <w:rFonts w:ascii="Wingdings 3" w:hAnsi="Wingdings 3" w:hint="default"/>
      </w:rPr>
    </w:lvl>
    <w:lvl w:ilvl="4" w:tplc="D4F8ABD2" w:tentative="1">
      <w:start w:val="1"/>
      <w:numFmt w:val="bullet"/>
      <w:lvlText w:val=""/>
      <w:lvlJc w:val="left"/>
      <w:pPr>
        <w:tabs>
          <w:tab w:val="num" w:pos="3600"/>
        </w:tabs>
        <w:ind w:left="3600" w:hanging="360"/>
      </w:pPr>
      <w:rPr>
        <w:rFonts w:ascii="Wingdings 3" w:hAnsi="Wingdings 3" w:hint="default"/>
      </w:rPr>
    </w:lvl>
    <w:lvl w:ilvl="5" w:tplc="47805B02" w:tentative="1">
      <w:start w:val="1"/>
      <w:numFmt w:val="bullet"/>
      <w:lvlText w:val=""/>
      <w:lvlJc w:val="left"/>
      <w:pPr>
        <w:tabs>
          <w:tab w:val="num" w:pos="4320"/>
        </w:tabs>
        <w:ind w:left="4320" w:hanging="360"/>
      </w:pPr>
      <w:rPr>
        <w:rFonts w:ascii="Wingdings 3" w:hAnsi="Wingdings 3" w:hint="default"/>
      </w:rPr>
    </w:lvl>
    <w:lvl w:ilvl="6" w:tplc="E4A4105C" w:tentative="1">
      <w:start w:val="1"/>
      <w:numFmt w:val="bullet"/>
      <w:lvlText w:val=""/>
      <w:lvlJc w:val="left"/>
      <w:pPr>
        <w:tabs>
          <w:tab w:val="num" w:pos="5040"/>
        </w:tabs>
        <w:ind w:left="5040" w:hanging="360"/>
      </w:pPr>
      <w:rPr>
        <w:rFonts w:ascii="Wingdings 3" w:hAnsi="Wingdings 3" w:hint="default"/>
      </w:rPr>
    </w:lvl>
    <w:lvl w:ilvl="7" w:tplc="1AEAC52A" w:tentative="1">
      <w:start w:val="1"/>
      <w:numFmt w:val="bullet"/>
      <w:lvlText w:val=""/>
      <w:lvlJc w:val="left"/>
      <w:pPr>
        <w:tabs>
          <w:tab w:val="num" w:pos="5760"/>
        </w:tabs>
        <w:ind w:left="5760" w:hanging="360"/>
      </w:pPr>
      <w:rPr>
        <w:rFonts w:ascii="Wingdings 3" w:hAnsi="Wingdings 3" w:hint="default"/>
      </w:rPr>
    </w:lvl>
    <w:lvl w:ilvl="8" w:tplc="846A7CB6" w:tentative="1">
      <w:start w:val="1"/>
      <w:numFmt w:val="bullet"/>
      <w:lvlText w:val=""/>
      <w:lvlJc w:val="left"/>
      <w:pPr>
        <w:tabs>
          <w:tab w:val="num" w:pos="6480"/>
        </w:tabs>
        <w:ind w:left="6480" w:hanging="360"/>
      </w:pPr>
      <w:rPr>
        <w:rFonts w:ascii="Wingdings 3" w:hAnsi="Wingdings 3" w:hint="default"/>
      </w:rPr>
    </w:lvl>
  </w:abstractNum>
  <w:abstractNum w:abstractNumId="38" w15:restartNumberingAfterBreak="0">
    <w:nsid w:val="7D865D15"/>
    <w:multiLevelType w:val="hybridMultilevel"/>
    <w:tmpl w:val="91B683B2"/>
    <w:lvl w:ilvl="0" w:tplc="CAB65DF6">
      <w:start w:val="1"/>
      <w:numFmt w:val="bullet"/>
      <w:lvlText w:val=""/>
      <w:lvlJc w:val="left"/>
      <w:pPr>
        <w:tabs>
          <w:tab w:val="num" w:pos="720"/>
        </w:tabs>
        <w:ind w:left="720" w:hanging="360"/>
      </w:pPr>
      <w:rPr>
        <w:rFonts w:ascii="Wingdings 3" w:hAnsi="Wingdings 3" w:hint="default"/>
      </w:rPr>
    </w:lvl>
    <w:lvl w:ilvl="1" w:tplc="FF1EC7EC" w:tentative="1">
      <w:start w:val="1"/>
      <w:numFmt w:val="bullet"/>
      <w:lvlText w:val=""/>
      <w:lvlJc w:val="left"/>
      <w:pPr>
        <w:tabs>
          <w:tab w:val="num" w:pos="1440"/>
        </w:tabs>
        <w:ind w:left="1440" w:hanging="360"/>
      </w:pPr>
      <w:rPr>
        <w:rFonts w:ascii="Wingdings 3" w:hAnsi="Wingdings 3" w:hint="default"/>
      </w:rPr>
    </w:lvl>
    <w:lvl w:ilvl="2" w:tplc="1CA8C7CE" w:tentative="1">
      <w:start w:val="1"/>
      <w:numFmt w:val="bullet"/>
      <w:lvlText w:val=""/>
      <w:lvlJc w:val="left"/>
      <w:pPr>
        <w:tabs>
          <w:tab w:val="num" w:pos="2160"/>
        </w:tabs>
        <w:ind w:left="2160" w:hanging="360"/>
      </w:pPr>
      <w:rPr>
        <w:rFonts w:ascii="Wingdings 3" w:hAnsi="Wingdings 3" w:hint="default"/>
      </w:rPr>
    </w:lvl>
    <w:lvl w:ilvl="3" w:tplc="D5D852D0" w:tentative="1">
      <w:start w:val="1"/>
      <w:numFmt w:val="bullet"/>
      <w:lvlText w:val=""/>
      <w:lvlJc w:val="left"/>
      <w:pPr>
        <w:tabs>
          <w:tab w:val="num" w:pos="2880"/>
        </w:tabs>
        <w:ind w:left="2880" w:hanging="360"/>
      </w:pPr>
      <w:rPr>
        <w:rFonts w:ascii="Wingdings 3" w:hAnsi="Wingdings 3" w:hint="default"/>
      </w:rPr>
    </w:lvl>
    <w:lvl w:ilvl="4" w:tplc="556476C6" w:tentative="1">
      <w:start w:val="1"/>
      <w:numFmt w:val="bullet"/>
      <w:lvlText w:val=""/>
      <w:lvlJc w:val="left"/>
      <w:pPr>
        <w:tabs>
          <w:tab w:val="num" w:pos="3600"/>
        </w:tabs>
        <w:ind w:left="3600" w:hanging="360"/>
      </w:pPr>
      <w:rPr>
        <w:rFonts w:ascii="Wingdings 3" w:hAnsi="Wingdings 3" w:hint="default"/>
      </w:rPr>
    </w:lvl>
    <w:lvl w:ilvl="5" w:tplc="269A4BC0" w:tentative="1">
      <w:start w:val="1"/>
      <w:numFmt w:val="bullet"/>
      <w:lvlText w:val=""/>
      <w:lvlJc w:val="left"/>
      <w:pPr>
        <w:tabs>
          <w:tab w:val="num" w:pos="4320"/>
        </w:tabs>
        <w:ind w:left="4320" w:hanging="360"/>
      </w:pPr>
      <w:rPr>
        <w:rFonts w:ascii="Wingdings 3" w:hAnsi="Wingdings 3" w:hint="default"/>
      </w:rPr>
    </w:lvl>
    <w:lvl w:ilvl="6" w:tplc="8FCAB69A" w:tentative="1">
      <w:start w:val="1"/>
      <w:numFmt w:val="bullet"/>
      <w:lvlText w:val=""/>
      <w:lvlJc w:val="left"/>
      <w:pPr>
        <w:tabs>
          <w:tab w:val="num" w:pos="5040"/>
        </w:tabs>
        <w:ind w:left="5040" w:hanging="360"/>
      </w:pPr>
      <w:rPr>
        <w:rFonts w:ascii="Wingdings 3" w:hAnsi="Wingdings 3" w:hint="default"/>
      </w:rPr>
    </w:lvl>
    <w:lvl w:ilvl="7" w:tplc="B26A07D2" w:tentative="1">
      <w:start w:val="1"/>
      <w:numFmt w:val="bullet"/>
      <w:lvlText w:val=""/>
      <w:lvlJc w:val="left"/>
      <w:pPr>
        <w:tabs>
          <w:tab w:val="num" w:pos="5760"/>
        </w:tabs>
        <w:ind w:left="5760" w:hanging="360"/>
      </w:pPr>
      <w:rPr>
        <w:rFonts w:ascii="Wingdings 3" w:hAnsi="Wingdings 3" w:hint="default"/>
      </w:rPr>
    </w:lvl>
    <w:lvl w:ilvl="8" w:tplc="3DBA5584" w:tentative="1">
      <w:start w:val="1"/>
      <w:numFmt w:val="bullet"/>
      <w:lvlText w:val=""/>
      <w:lvlJc w:val="left"/>
      <w:pPr>
        <w:tabs>
          <w:tab w:val="num" w:pos="6480"/>
        </w:tabs>
        <w:ind w:left="6480" w:hanging="360"/>
      </w:pPr>
      <w:rPr>
        <w:rFonts w:ascii="Wingdings 3" w:hAnsi="Wingdings 3" w:hint="default"/>
      </w:rPr>
    </w:lvl>
  </w:abstractNum>
  <w:abstractNum w:abstractNumId="39" w15:restartNumberingAfterBreak="0">
    <w:nsid w:val="7E293AD4"/>
    <w:multiLevelType w:val="multilevel"/>
    <w:tmpl w:val="50C27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90326C"/>
    <w:multiLevelType w:val="hybridMultilevel"/>
    <w:tmpl w:val="3190DF64"/>
    <w:lvl w:ilvl="0" w:tplc="A9FCD354">
      <w:start w:val="1"/>
      <w:numFmt w:val="bullet"/>
      <w:lvlText w:val=""/>
      <w:lvlJc w:val="left"/>
      <w:pPr>
        <w:tabs>
          <w:tab w:val="num" w:pos="720"/>
        </w:tabs>
        <w:ind w:left="720" w:hanging="360"/>
      </w:pPr>
      <w:rPr>
        <w:rFonts w:ascii="Wingdings 3" w:hAnsi="Wingdings 3" w:hint="default"/>
      </w:rPr>
    </w:lvl>
    <w:lvl w:ilvl="1" w:tplc="C9160984" w:tentative="1">
      <w:start w:val="1"/>
      <w:numFmt w:val="bullet"/>
      <w:lvlText w:val=""/>
      <w:lvlJc w:val="left"/>
      <w:pPr>
        <w:tabs>
          <w:tab w:val="num" w:pos="1440"/>
        </w:tabs>
        <w:ind w:left="1440" w:hanging="360"/>
      </w:pPr>
      <w:rPr>
        <w:rFonts w:ascii="Wingdings 3" w:hAnsi="Wingdings 3" w:hint="default"/>
      </w:rPr>
    </w:lvl>
    <w:lvl w:ilvl="2" w:tplc="76146F5C" w:tentative="1">
      <w:start w:val="1"/>
      <w:numFmt w:val="bullet"/>
      <w:lvlText w:val=""/>
      <w:lvlJc w:val="left"/>
      <w:pPr>
        <w:tabs>
          <w:tab w:val="num" w:pos="2160"/>
        </w:tabs>
        <w:ind w:left="2160" w:hanging="360"/>
      </w:pPr>
      <w:rPr>
        <w:rFonts w:ascii="Wingdings 3" w:hAnsi="Wingdings 3" w:hint="default"/>
      </w:rPr>
    </w:lvl>
    <w:lvl w:ilvl="3" w:tplc="AE0A4880" w:tentative="1">
      <w:start w:val="1"/>
      <w:numFmt w:val="bullet"/>
      <w:lvlText w:val=""/>
      <w:lvlJc w:val="left"/>
      <w:pPr>
        <w:tabs>
          <w:tab w:val="num" w:pos="2880"/>
        </w:tabs>
        <w:ind w:left="2880" w:hanging="360"/>
      </w:pPr>
      <w:rPr>
        <w:rFonts w:ascii="Wingdings 3" w:hAnsi="Wingdings 3" w:hint="default"/>
      </w:rPr>
    </w:lvl>
    <w:lvl w:ilvl="4" w:tplc="E05CC032" w:tentative="1">
      <w:start w:val="1"/>
      <w:numFmt w:val="bullet"/>
      <w:lvlText w:val=""/>
      <w:lvlJc w:val="left"/>
      <w:pPr>
        <w:tabs>
          <w:tab w:val="num" w:pos="3600"/>
        </w:tabs>
        <w:ind w:left="3600" w:hanging="360"/>
      </w:pPr>
      <w:rPr>
        <w:rFonts w:ascii="Wingdings 3" w:hAnsi="Wingdings 3" w:hint="default"/>
      </w:rPr>
    </w:lvl>
    <w:lvl w:ilvl="5" w:tplc="F42CC050" w:tentative="1">
      <w:start w:val="1"/>
      <w:numFmt w:val="bullet"/>
      <w:lvlText w:val=""/>
      <w:lvlJc w:val="left"/>
      <w:pPr>
        <w:tabs>
          <w:tab w:val="num" w:pos="4320"/>
        </w:tabs>
        <w:ind w:left="4320" w:hanging="360"/>
      </w:pPr>
      <w:rPr>
        <w:rFonts w:ascii="Wingdings 3" w:hAnsi="Wingdings 3" w:hint="default"/>
      </w:rPr>
    </w:lvl>
    <w:lvl w:ilvl="6" w:tplc="48241E18" w:tentative="1">
      <w:start w:val="1"/>
      <w:numFmt w:val="bullet"/>
      <w:lvlText w:val=""/>
      <w:lvlJc w:val="left"/>
      <w:pPr>
        <w:tabs>
          <w:tab w:val="num" w:pos="5040"/>
        </w:tabs>
        <w:ind w:left="5040" w:hanging="360"/>
      </w:pPr>
      <w:rPr>
        <w:rFonts w:ascii="Wingdings 3" w:hAnsi="Wingdings 3" w:hint="default"/>
      </w:rPr>
    </w:lvl>
    <w:lvl w:ilvl="7" w:tplc="FB22DD3C" w:tentative="1">
      <w:start w:val="1"/>
      <w:numFmt w:val="bullet"/>
      <w:lvlText w:val=""/>
      <w:lvlJc w:val="left"/>
      <w:pPr>
        <w:tabs>
          <w:tab w:val="num" w:pos="5760"/>
        </w:tabs>
        <w:ind w:left="5760" w:hanging="360"/>
      </w:pPr>
      <w:rPr>
        <w:rFonts w:ascii="Wingdings 3" w:hAnsi="Wingdings 3" w:hint="default"/>
      </w:rPr>
    </w:lvl>
    <w:lvl w:ilvl="8" w:tplc="DCD0A42A" w:tentative="1">
      <w:start w:val="1"/>
      <w:numFmt w:val="bullet"/>
      <w:lvlText w:val=""/>
      <w:lvlJc w:val="left"/>
      <w:pPr>
        <w:tabs>
          <w:tab w:val="num" w:pos="6480"/>
        </w:tabs>
        <w:ind w:left="6480" w:hanging="360"/>
      </w:pPr>
      <w:rPr>
        <w:rFonts w:ascii="Wingdings 3" w:hAnsi="Wingdings 3" w:hint="default"/>
      </w:rPr>
    </w:lvl>
  </w:abstractNum>
  <w:num w:numId="1" w16cid:durableId="658341543">
    <w:abstractNumId w:val="7"/>
  </w:num>
  <w:num w:numId="2" w16cid:durableId="1164903236">
    <w:abstractNumId w:val="26"/>
  </w:num>
  <w:num w:numId="3" w16cid:durableId="901713128">
    <w:abstractNumId w:val="40"/>
  </w:num>
  <w:num w:numId="4" w16cid:durableId="1297300714">
    <w:abstractNumId w:val="25"/>
  </w:num>
  <w:num w:numId="5" w16cid:durableId="2120173945">
    <w:abstractNumId w:val="30"/>
  </w:num>
  <w:num w:numId="6" w16cid:durableId="1454327210">
    <w:abstractNumId w:val="28"/>
  </w:num>
  <w:num w:numId="7" w16cid:durableId="17629975">
    <w:abstractNumId w:val="24"/>
  </w:num>
  <w:num w:numId="8" w16cid:durableId="1360350943">
    <w:abstractNumId w:val="0"/>
  </w:num>
  <w:num w:numId="9" w16cid:durableId="1729067161">
    <w:abstractNumId w:val="4"/>
  </w:num>
  <w:num w:numId="10" w16cid:durableId="1194004193">
    <w:abstractNumId w:val="33"/>
  </w:num>
  <w:num w:numId="11" w16cid:durableId="1304310653">
    <w:abstractNumId w:val="3"/>
  </w:num>
  <w:num w:numId="12" w16cid:durableId="1809005312">
    <w:abstractNumId w:val="37"/>
  </w:num>
  <w:num w:numId="13" w16cid:durableId="631518781">
    <w:abstractNumId w:val="35"/>
  </w:num>
  <w:num w:numId="14" w16cid:durableId="386994896">
    <w:abstractNumId w:val="16"/>
  </w:num>
  <w:num w:numId="15" w16cid:durableId="857278598">
    <w:abstractNumId w:val="13"/>
  </w:num>
  <w:num w:numId="16" w16cid:durableId="404497179">
    <w:abstractNumId w:val="32"/>
  </w:num>
  <w:num w:numId="17" w16cid:durableId="223681755">
    <w:abstractNumId w:val="23"/>
  </w:num>
  <w:num w:numId="18" w16cid:durableId="86584311">
    <w:abstractNumId w:val="22"/>
  </w:num>
  <w:num w:numId="19" w16cid:durableId="1215578052">
    <w:abstractNumId w:val="31"/>
  </w:num>
  <w:num w:numId="20" w16cid:durableId="1884519625">
    <w:abstractNumId w:val="18"/>
  </w:num>
  <w:num w:numId="21" w16cid:durableId="1776441568">
    <w:abstractNumId w:val="19"/>
  </w:num>
  <w:num w:numId="22" w16cid:durableId="1316841211">
    <w:abstractNumId w:val="36"/>
  </w:num>
  <w:num w:numId="23" w16cid:durableId="278266439">
    <w:abstractNumId w:val="12"/>
  </w:num>
  <w:num w:numId="24" w16cid:durableId="1152066991">
    <w:abstractNumId w:val="6"/>
  </w:num>
  <w:num w:numId="25" w16cid:durableId="977341420">
    <w:abstractNumId w:val="5"/>
  </w:num>
  <w:num w:numId="26" w16cid:durableId="825783214">
    <w:abstractNumId w:val="27"/>
  </w:num>
  <w:num w:numId="27" w16cid:durableId="945189230">
    <w:abstractNumId w:val="10"/>
  </w:num>
  <w:num w:numId="28" w16cid:durableId="298583089">
    <w:abstractNumId w:val="11"/>
  </w:num>
  <w:num w:numId="29" w16cid:durableId="155807245">
    <w:abstractNumId w:val="38"/>
  </w:num>
  <w:num w:numId="30" w16cid:durableId="1585601934">
    <w:abstractNumId w:val="1"/>
  </w:num>
  <w:num w:numId="31" w16cid:durableId="1552183204">
    <w:abstractNumId w:val="21"/>
  </w:num>
  <w:num w:numId="32" w16cid:durableId="1871992401">
    <w:abstractNumId w:val="15"/>
  </w:num>
  <w:num w:numId="33" w16cid:durableId="1994526423">
    <w:abstractNumId w:val="39"/>
  </w:num>
  <w:num w:numId="34" w16cid:durableId="1424106503">
    <w:abstractNumId w:val="29"/>
  </w:num>
  <w:num w:numId="35" w16cid:durableId="1682926850">
    <w:abstractNumId w:val="17"/>
  </w:num>
  <w:num w:numId="36" w16cid:durableId="1693990208">
    <w:abstractNumId w:val="14"/>
  </w:num>
  <w:num w:numId="37" w16cid:durableId="924193534">
    <w:abstractNumId w:val="20"/>
  </w:num>
  <w:num w:numId="38" w16cid:durableId="386683339">
    <w:abstractNumId w:val="9"/>
  </w:num>
  <w:num w:numId="39" w16cid:durableId="1671325857">
    <w:abstractNumId w:val="34"/>
  </w:num>
  <w:num w:numId="40" w16cid:durableId="2044986032">
    <w:abstractNumId w:val="8"/>
  </w:num>
  <w:num w:numId="41" w16cid:durableId="4899496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0FC"/>
    <w:rsid w:val="00020954"/>
    <w:rsid w:val="000251BF"/>
    <w:rsid w:val="000315B6"/>
    <w:rsid w:val="000921E4"/>
    <w:rsid w:val="000F200A"/>
    <w:rsid w:val="001515B8"/>
    <w:rsid w:val="001702B0"/>
    <w:rsid w:val="00171F26"/>
    <w:rsid w:val="00193F8E"/>
    <w:rsid w:val="001A7EE9"/>
    <w:rsid w:val="001B424A"/>
    <w:rsid w:val="001C4C98"/>
    <w:rsid w:val="002273DD"/>
    <w:rsid w:val="00231C45"/>
    <w:rsid w:val="002733AC"/>
    <w:rsid w:val="00284590"/>
    <w:rsid w:val="002C4CDD"/>
    <w:rsid w:val="00382393"/>
    <w:rsid w:val="003B6BF3"/>
    <w:rsid w:val="003D79AE"/>
    <w:rsid w:val="003E06BC"/>
    <w:rsid w:val="00422040"/>
    <w:rsid w:val="00443D1B"/>
    <w:rsid w:val="004D5242"/>
    <w:rsid w:val="004D72EA"/>
    <w:rsid w:val="006166E6"/>
    <w:rsid w:val="00637092"/>
    <w:rsid w:val="00687770"/>
    <w:rsid w:val="006B1EFF"/>
    <w:rsid w:val="006F2011"/>
    <w:rsid w:val="007A3277"/>
    <w:rsid w:val="007A68C8"/>
    <w:rsid w:val="007B50FC"/>
    <w:rsid w:val="00806B25"/>
    <w:rsid w:val="008B3E4B"/>
    <w:rsid w:val="008F4DDA"/>
    <w:rsid w:val="00984E97"/>
    <w:rsid w:val="009B6736"/>
    <w:rsid w:val="009C1C8E"/>
    <w:rsid w:val="00A11D43"/>
    <w:rsid w:val="00A269FD"/>
    <w:rsid w:val="00A33215"/>
    <w:rsid w:val="00A55C63"/>
    <w:rsid w:val="00A771E5"/>
    <w:rsid w:val="00B1398C"/>
    <w:rsid w:val="00C16EB2"/>
    <w:rsid w:val="00C935D6"/>
    <w:rsid w:val="00CB099C"/>
    <w:rsid w:val="00CD19B5"/>
    <w:rsid w:val="00D2404D"/>
    <w:rsid w:val="00D50FCF"/>
    <w:rsid w:val="00E47B35"/>
    <w:rsid w:val="00E7721C"/>
    <w:rsid w:val="00EC7AD4"/>
    <w:rsid w:val="00F27798"/>
    <w:rsid w:val="00F36D23"/>
    <w:rsid w:val="00F9133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95672B"/>
  <w15:chartTrackingRefBased/>
  <w15:docId w15:val="{55AA9229-4611-4FDD-BE04-7F180A25F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C7AD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14:ligatures w14:val="none"/>
    </w:rPr>
  </w:style>
  <w:style w:type="paragraph" w:styleId="Heading2">
    <w:name w:val="heading 2"/>
    <w:basedOn w:val="Normal"/>
    <w:next w:val="Normal"/>
    <w:link w:val="Heading2Char"/>
    <w:uiPriority w:val="9"/>
    <w:semiHidden/>
    <w:unhideWhenUsed/>
    <w:qFormat/>
    <w:rsid w:val="000921E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771E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68C8"/>
    <w:pPr>
      <w:spacing w:after="0" w:line="240" w:lineRule="auto"/>
      <w:ind w:left="720"/>
      <w:contextualSpacing/>
    </w:pPr>
    <w:rPr>
      <w:rFonts w:ascii="Times New Roman" w:eastAsia="Times New Roman" w:hAnsi="Times New Roman" w:cs="Times New Roman"/>
      <w:kern w:val="0"/>
      <w:sz w:val="24"/>
      <w:szCs w:val="24"/>
      <w:lang w:eastAsia="en-IN"/>
      <w14:ligatures w14:val="none"/>
    </w:rPr>
  </w:style>
  <w:style w:type="character" w:customStyle="1" w:styleId="Heading1Char">
    <w:name w:val="Heading 1 Char"/>
    <w:basedOn w:val="DefaultParagraphFont"/>
    <w:link w:val="Heading1"/>
    <w:uiPriority w:val="9"/>
    <w:rsid w:val="00EC7AD4"/>
    <w:rPr>
      <w:rFonts w:ascii="Times New Roman" w:eastAsia="Times New Roman" w:hAnsi="Times New Roman" w:cs="Times New Roman"/>
      <w:b/>
      <w:bCs/>
      <w:kern w:val="36"/>
      <w:sz w:val="48"/>
      <w:szCs w:val="48"/>
      <w:lang w:eastAsia="en-IN"/>
      <w14:ligatures w14:val="none"/>
    </w:rPr>
  </w:style>
  <w:style w:type="character" w:styleId="Hyperlink">
    <w:name w:val="Hyperlink"/>
    <w:basedOn w:val="DefaultParagraphFont"/>
    <w:uiPriority w:val="99"/>
    <w:unhideWhenUsed/>
    <w:rsid w:val="00EC7AD4"/>
    <w:rPr>
      <w:color w:val="0000FF"/>
      <w:u w:val="single"/>
    </w:rPr>
  </w:style>
  <w:style w:type="paragraph" w:styleId="NormalWeb">
    <w:name w:val="Normal (Web)"/>
    <w:basedOn w:val="Normal"/>
    <w:uiPriority w:val="99"/>
    <w:semiHidden/>
    <w:unhideWhenUsed/>
    <w:rsid w:val="00EC7AD4"/>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
    <w:name w:val="head"/>
    <w:basedOn w:val="DefaultParagraphFont"/>
    <w:rsid w:val="00284590"/>
  </w:style>
  <w:style w:type="paragraph" w:customStyle="1" w:styleId="text-justify">
    <w:name w:val="text-justify"/>
    <w:basedOn w:val="Normal"/>
    <w:rsid w:val="00F9133A"/>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3Char">
    <w:name w:val="Heading 3 Char"/>
    <w:basedOn w:val="DefaultParagraphFont"/>
    <w:link w:val="Heading3"/>
    <w:uiPriority w:val="9"/>
    <w:rsid w:val="00A771E5"/>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A771E5"/>
    <w:rPr>
      <w:b/>
      <w:bCs/>
    </w:rPr>
  </w:style>
  <w:style w:type="character" w:customStyle="1" w:styleId="Heading2Char">
    <w:name w:val="Heading 2 Char"/>
    <w:basedOn w:val="DefaultParagraphFont"/>
    <w:link w:val="Heading2"/>
    <w:uiPriority w:val="9"/>
    <w:semiHidden/>
    <w:rsid w:val="000921E4"/>
    <w:rPr>
      <w:rFonts w:asciiTheme="majorHAnsi" w:eastAsiaTheme="majorEastAsia" w:hAnsiTheme="majorHAnsi" w:cstheme="majorBidi"/>
      <w:color w:val="2F5496" w:themeColor="accent1" w:themeShade="BF"/>
      <w:sz w:val="26"/>
      <w:szCs w:val="26"/>
    </w:rPr>
  </w:style>
  <w:style w:type="character" w:customStyle="1" w:styleId="webrupee">
    <w:name w:val="webrupee"/>
    <w:basedOn w:val="DefaultParagraphFont"/>
    <w:rsid w:val="00CB099C"/>
  </w:style>
  <w:style w:type="character" w:styleId="UnresolvedMention">
    <w:name w:val="Unresolved Mention"/>
    <w:basedOn w:val="DefaultParagraphFont"/>
    <w:uiPriority w:val="99"/>
    <w:semiHidden/>
    <w:unhideWhenUsed/>
    <w:rsid w:val="00171F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56851">
      <w:bodyDiv w:val="1"/>
      <w:marLeft w:val="0"/>
      <w:marRight w:val="0"/>
      <w:marTop w:val="0"/>
      <w:marBottom w:val="0"/>
      <w:divBdr>
        <w:top w:val="none" w:sz="0" w:space="0" w:color="auto"/>
        <w:left w:val="none" w:sz="0" w:space="0" w:color="auto"/>
        <w:bottom w:val="none" w:sz="0" w:space="0" w:color="auto"/>
        <w:right w:val="none" w:sz="0" w:space="0" w:color="auto"/>
      </w:divBdr>
      <w:divsChild>
        <w:div w:id="1667593431">
          <w:marLeft w:val="547"/>
          <w:marRight w:val="0"/>
          <w:marTop w:val="200"/>
          <w:marBottom w:val="0"/>
          <w:divBdr>
            <w:top w:val="none" w:sz="0" w:space="0" w:color="auto"/>
            <w:left w:val="none" w:sz="0" w:space="0" w:color="auto"/>
            <w:bottom w:val="none" w:sz="0" w:space="0" w:color="auto"/>
            <w:right w:val="none" w:sz="0" w:space="0" w:color="auto"/>
          </w:divBdr>
        </w:div>
        <w:div w:id="1328050093">
          <w:marLeft w:val="547"/>
          <w:marRight w:val="0"/>
          <w:marTop w:val="200"/>
          <w:marBottom w:val="0"/>
          <w:divBdr>
            <w:top w:val="none" w:sz="0" w:space="0" w:color="auto"/>
            <w:left w:val="none" w:sz="0" w:space="0" w:color="auto"/>
            <w:bottom w:val="none" w:sz="0" w:space="0" w:color="auto"/>
            <w:right w:val="none" w:sz="0" w:space="0" w:color="auto"/>
          </w:divBdr>
        </w:div>
        <w:div w:id="109016150">
          <w:marLeft w:val="547"/>
          <w:marRight w:val="0"/>
          <w:marTop w:val="200"/>
          <w:marBottom w:val="0"/>
          <w:divBdr>
            <w:top w:val="none" w:sz="0" w:space="0" w:color="auto"/>
            <w:left w:val="none" w:sz="0" w:space="0" w:color="auto"/>
            <w:bottom w:val="none" w:sz="0" w:space="0" w:color="auto"/>
            <w:right w:val="none" w:sz="0" w:space="0" w:color="auto"/>
          </w:divBdr>
        </w:div>
        <w:div w:id="1359619558">
          <w:marLeft w:val="547"/>
          <w:marRight w:val="0"/>
          <w:marTop w:val="200"/>
          <w:marBottom w:val="0"/>
          <w:divBdr>
            <w:top w:val="none" w:sz="0" w:space="0" w:color="auto"/>
            <w:left w:val="none" w:sz="0" w:space="0" w:color="auto"/>
            <w:bottom w:val="none" w:sz="0" w:space="0" w:color="auto"/>
            <w:right w:val="none" w:sz="0" w:space="0" w:color="auto"/>
          </w:divBdr>
        </w:div>
      </w:divsChild>
    </w:div>
    <w:div w:id="17826527">
      <w:bodyDiv w:val="1"/>
      <w:marLeft w:val="0"/>
      <w:marRight w:val="0"/>
      <w:marTop w:val="0"/>
      <w:marBottom w:val="0"/>
      <w:divBdr>
        <w:top w:val="none" w:sz="0" w:space="0" w:color="auto"/>
        <w:left w:val="none" w:sz="0" w:space="0" w:color="auto"/>
        <w:bottom w:val="none" w:sz="0" w:space="0" w:color="auto"/>
        <w:right w:val="none" w:sz="0" w:space="0" w:color="auto"/>
      </w:divBdr>
    </w:div>
    <w:div w:id="33696028">
      <w:bodyDiv w:val="1"/>
      <w:marLeft w:val="0"/>
      <w:marRight w:val="0"/>
      <w:marTop w:val="0"/>
      <w:marBottom w:val="0"/>
      <w:divBdr>
        <w:top w:val="none" w:sz="0" w:space="0" w:color="auto"/>
        <w:left w:val="none" w:sz="0" w:space="0" w:color="auto"/>
        <w:bottom w:val="none" w:sz="0" w:space="0" w:color="auto"/>
        <w:right w:val="none" w:sz="0" w:space="0" w:color="auto"/>
      </w:divBdr>
      <w:divsChild>
        <w:div w:id="1133718960">
          <w:marLeft w:val="547"/>
          <w:marRight w:val="0"/>
          <w:marTop w:val="200"/>
          <w:marBottom w:val="0"/>
          <w:divBdr>
            <w:top w:val="none" w:sz="0" w:space="0" w:color="auto"/>
            <w:left w:val="none" w:sz="0" w:space="0" w:color="auto"/>
            <w:bottom w:val="none" w:sz="0" w:space="0" w:color="auto"/>
            <w:right w:val="none" w:sz="0" w:space="0" w:color="auto"/>
          </w:divBdr>
        </w:div>
        <w:div w:id="635380780">
          <w:marLeft w:val="547"/>
          <w:marRight w:val="0"/>
          <w:marTop w:val="200"/>
          <w:marBottom w:val="0"/>
          <w:divBdr>
            <w:top w:val="none" w:sz="0" w:space="0" w:color="auto"/>
            <w:left w:val="none" w:sz="0" w:space="0" w:color="auto"/>
            <w:bottom w:val="none" w:sz="0" w:space="0" w:color="auto"/>
            <w:right w:val="none" w:sz="0" w:space="0" w:color="auto"/>
          </w:divBdr>
        </w:div>
        <w:div w:id="538669415">
          <w:marLeft w:val="547"/>
          <w:marRight w:val="0"/>
          <w:marTop w:val="200"/>
          <w:marBottom w:val="0"/>
          <w:divBdr>
            <w:top w:val="none" w:sz="0" w:space="0" w:color="auto"/>
            <w:left w:val="none" w:sz="0" w:space="0" w:color="auto"/>
            <w:bottom w:val="none" w:sz="0" w:space="0" w:color="auto"/>
            <w:right w:val="none" w:sz="0" w:space="0" w:color="auto"/>
          </w:divBdr>
        </w:div>
        <w:div w:id="2092508405">
          <w:marLeft w:val="547"/>
          <w:marRight w:val="0"/>
          <w:marTop w:val="200"/>
          <w:marBottom w:val="0"/>
          <w:divBdr>
            <w:top w:val="none" w:sz="0" w:space="0" w:color="auto"/>
            <w:left w:val="none" w:sz="0" w:space="0" w:color="auto"/>
            <w:bottom w:val="none" w:sz="0" w:space="0" w:color="auto"/>
            <w:right w:val="none" w:sz="0" w:space="0" w:color="auto"/>
          </w:divBdr>
        </w:div>
        <w:div w:id="228804032">
          <w:marLeft w:val="547"/>
          <w:marRight w:val="0"/>
          <w:marTop w:val="200"/>
          <w:marBottom w:val="0"/>
          <w:divBdr>
            <w:top w:val="none" w:sz="0" w:space="0" w:color="auto"/>
            <w:left w:val="none" w:sz="0" w:space="0" w:color="auto"/>
            <w:bottom w:val="none" w:sz="0" w:space="0" w:color="auto"/>
            <w:right w:val="none" w:sz="0" w:space="0" w:color="auto"/>
          </w:divBdr>
        </w:div>
      </w:divsChild>
    </w:div>
    <w:div w:id="52703969">
      <w:bodyDiv w:val="1"/>
      <w:marLeft w:val="0"/>
      <w:marRight w:val="0"/>
      <w:marTop w:val="0"/>
      <w:marBottom w:val="0"/>
      <w:divBdr>
        <w:top w:val="none" w:sz="0" w:space="0" w:color="auto"/>
        <w:left w:val="none" w:sz="0" w:space="0" w:color="auto"/>
        <w:bottom w:val="none" w:sz="0" w:space="0" w:color="auto"/>
        <w:right w:val="none" w:sz="0" w:space="0" w:color="auto"/>
      </w:divBdr>
      <w:divsChild>
        <w:div w:id="778915258">
          <w:marLeft w:val="547"/>
          <w:marRight w:val="0"/>
          <w:marTop w:val="200"/>
          <w:marBottom w:val="0"/>
          <w:divBdr>
            <w:top w:val="none" w:sz="0" w:space="0" w:color="auto"/>
            <w:left w:val="none" w:sz="0" w:space="0" w:color="auto"/>
            <w:bottom w:val="none" w:sz="0" w:space="0" w:color="auto"/>
            <w:right w:val="none" w:sz="0" w:space="0" w:color="auto"/>
          </w:divBdr>
        </w:div>
        <w:div w:id="1889947601">
          <w:marLeft w:val="547"/>
          <w:marRight w:val="0"/>
          <w:marTop w:val="200"/>
          <w:marBottom w:val="0"/>
          <w:divBdr>
            <w:top w:val="none" w:sz="0" w:space="0" w:color="auto"/>
            <w:left w:val="none" w:sz="0" w:space="0" w:color="auto"/>
            <w:bottom w:val="none" w:sz="0" w:space="0" w:color="auto"/>
            <w:right w:val="none" w:sz="0" w:space="0" w:color="auto"/>
          </w:divBdr>
        </w:div>
        <w:div w:id="867179184">
          <w:marLeft w:val="547"/>
          <w:marRight w:val="0"/>
          <w:marTop w:val="200"/>
          <w:marBottom w:val="0"/>
          <w:divBdr>
            <w:top w:val="none" w:sz="0" w:space="0" w:color="auto"/>
            <w:left w:val="none" w:sz="0" w:space="0" w:color="auto"/>
            <w:bottom w:val="none" w:sz="0" w:space="0" w:color="auto"/>
            <w:right w:val="none" w:sz="0" w:space="0" w:color="auto"/>
          </w:divBdr>
        </w:div>
        <w:div w:id="41831203">
          <w:marLeft w:val="547"/>
          <w:marRight w:val="0"/>
          <w:marTop w:val="200"/>
          <w:marBottom w:val="0"/>
          <w:divBdr>
            <w:top w:val="none" w:sz="0" w:space="0" w:color="auto"/>
            <w:left w:val="none" w:sz="0" w:space="0" w:color="auto"/>
            <w:bottom w:val="none" w:sz="0" w:space="0" w:color="auto"/>
            <w:right w:val="none" w:sz="0" w:space="0" w:color="auto"/>
          </w:divBdr>
        </w:div>
        <w:div w:id="197205454">
          <w:marLeft w:val="547"/>
          <w:marRight w:val="0"/>
          <w:marTop w:val="200"/>
          <w:marBottom w:val="0"/>
          <w:divBdr>
            <w:top w:val="none" w:sz="0" w:space="0" w:color="auto"/>
            <w:left w:val="none" w:sz="0" w:space="0" w:color="auto"/>
            <w:bottom w:val="none" w:sz="0" w:space="0" w:color="auto"/>
            <w:right w:val="none" w:sz="0" w:space="0" w:color="auto"/>
          </w:divBdr>
        </w:div>
        <w:div w:id="410079446">
          <w:marLeft w:val="547"/>
          <w:marRight w:val="0"/>
          <w:marTop w:val="200"/>
          <w:marBottom w:val="0"/>
          <w:divBdr>
            <w:top w:val="none" w:sz="0" w:space="0" w:color="auto"/>
            <w:left w:val="none" w:sz="0" w:space="0" w:color="auto"/>
            <w:bottom w:val="none" w:sz="0" w:space="0" w:color="auto"/>
            <w:right w:val="none" w:sz="0" w:space="0" w:color="auto"/>
          </w:divBdr>
        </w:div>
        <w:div w:id="1404522595">
          <w:marLeft w:val="547"/>
          <w:marRight w:val="0"/>
          <w:marTop w:val="200"/>
          <w:marBottom w:val="0"/>
          <w:divBdr>
            <w:top w:val="none" w:sz="0" w:space="0" w:color="auto"/>
            <w:left w:val="none" w:sz="0" w:space="0" w:color="auto"/>
            <w:bottom w:val="none" w:sz="0" w:space="0" w:color="auto"/>
            <w:right w:val="none" w:sz="0" w:space="0" w:color="auto"/>
          </w:divBdr>
        </w:div>
        <w:div w:id="166486406">
          <w:marLeft w:val="547"/>
          <w:marRight w:val="0"/>
          <w:marTop w:val="200"/>
          <w:marBottom w:val="0"/>
          <w:divBdr>
            <w:top w:val="none" w:sz="0" w:space="0" w:color="auto"/>
            <w:left w:val="none" w:sz="0" w:space="0" w:color="auto"/>
            <w:bottom w:val="none" w:sz="0" w:space="0" w:color="auto"/>
            <w:right w:val="none" w:sz="0" w:space="0" w:color="auto"/>
          </w:divBdr>
        </w:div>
      </w:divsChild>
    </w:div>
    <w:div w:id="91516786">
      <w:bodyDiv w:val="1"/>
      <w:marLeft w:val="0"/>
      <w:marRight w:val="0"/>
      <w:marTop w:val="0"/>
      <w:marBottom w:val="0"/>
      <w:divBdr>
        <w:top w:val="none" w:sz="0" w:space="0" w:color="auto"/>
        <w:left w:val="none" w:sz="0" w:space="0" w:color="auto"/>
        <w:bottom w:val="none" w:sz="0" w:space="0" w:color="auto"/>
        <w:right w:val="none" w:sz="0" w:space="0" w:color="auto"/>
      </w:divBdr>
    </w:div>
    <w:div w:id="105539351">
      <w:bodyDiv w:val="1"/>
      <w:marLeft w:val="0"/>
      <w:marRight w:val="0"/>
      <w:marTop w:val="0"/>
      <w:marBottom w:val="0"/>
      <w:divBdr>
        <w:top w:val="none" w:sz="0" w:space="0" w:color="auto"/>
        <w:left w:val="none" w:sz="0" w:space="0" w:color="auto"/>
        <w:bottom w:val="none" w:sz="0" w:space="0" w:color="auto"/>
        <w:right w:val="none" w:sz="0" w:space="0" w:color="auto"/>
      </w:divBdr>
      <w:divsChild>
        <w:div w:id="797377693">
          <w:marLeft w:val="547"/>
          <w:marRight w:val="0"/>
          <w:marTop w:val="200"/>
          <w:marBottom w:val="0"/>
          <w:divBdr>
            <w:top w:val="none" w:sz="0" w:space="0" w:color="auto"/>
            <w:left w:val="none" w:sz="0" w:space="0" w:color="auto"/>
            <w:bottom w:val="none" w:sz="0" w:space="0" w:color="auto"/>
            <w:right w:val="none" w:sz="0" w:space="0" w:color="auto"/>
          </w:divBdr>
        </w:div>
      </w:divsChild>
    </w:div>
    <w:div w:id="132604842">
      <w:bodyDiv w:val="1"/>
      <w:marLeft w:val="0"/>
      <w:marRight w:val="0"/>
      <w:marTop w:val="0"/>
      <w:marBottom w:val="0"/>
      <w:divBdr>
        <w:top w:val="none" w:sz="0" w:space="0" w:color="auto"/>
        <w:left w:val="none" w:sz="0" w:space="0" w:color="auto"/>
        <w:bottom w:val="none" w:sz="0" w:space="0" w:color="auto"/>
        <w:right w:val="none" w:sz="0" w:space="0" w:color="auto"/>
      </w:divBdr>
      <w:divsChild>
        <w:div w:id="469517227">
          <w:marLeft w:val="547"/>
          <w:marRight w:val="0"/>
          <w:marTop w:val="200"/>
          <w:marBottom w:val="0"/>
          <w:divBdr>
            <w:top w:val="none" w:sz="0" w:space="0" w:color="auto"/>
            <w:left w:val="none" w:sz="0" w:space="0" w:color="auto"/>
            <w:bottom w:val="none" w:sz="0" w:space="0" w:color="auto"/>
            <w:right w:val="none" w:sz="0" w:space="0" w:color="auto"/>
          </w:divBdr>
        </w:div>
      </w:divsChild>
    </w:div>
    <w:div w:id="184296336">
      <w:bodyDiv w:val="1"/>
      <w:marLeft w:val="0"/>
      <w:marRight w:val="0"/>
      <w:marTop w:val="0"/>
      <w:marBottom w:val="0"/>
      <w:divBdr>
        <w:top w:val="none" w:sz="0" w:space="0" w:color="auto"/>
        <w:left w:val="none" w:sz="0" w:space="0" w:color="auto"/>
        <w:bottom w:val="none" w:sz="0" w:space="0" w:color="auto"/>
        <w:right w:val="none" w:sz="0" w:space="0" w:color="auto"/>
      </w:divBdr>
      <w:divsChild>
        <w:div w:id="34502005">
          <w:marLeft w:val="547"/>
          <w:marRight w:val="0"/>
          <w:marTop w:val="200"/>
          <w:marBottom w:val="0"/>
          <w:divBdr>
            <w:top w:val="none" w:sz="0" w:space="0" w:color="auto"/>
            <w:left w:val="none" w:sz="0" w:space="0" w:color="auto"/>
            <w:bottom w:val="none" w:sz="0" w:space="0" w:color="auto"/>
            <w:right w:val="none" w:sz="0" w:space="0" w:color="auto"/>
          </w:divBdr>
        </w:div>
        <w:div w:id="1413240584">
          <w:marLeft w:val="547"/>
          <w:marRight w:val="0"/>
          <w:marTop w:val="200"/>
          <w:marBottom w:val="0"/>
          <w:divBdr>
            <w:top w:val="none" w:sz="0" w:space="0" w:color="auto"/>
            <w:left w:val="none" w:sz="0" w:space="0" w:color="auto"/>
            <w:bottom w:val="none" w:sz="0" w:space="0" w:color="auto"/>
            <w:right w:val="none" w:sz="0" w:space="0" w:color="auto"/>
          </w:divBdr>
        </w:div>
        <w:div w:id="368803284">
          <w:marLeft w:val="547"/>
          <w:marRight w:val="0"/>
          <w:marTop w:val="200"/>
          <w:marBottom w:val="0"/>
          <w:divBdr>
            <w:top w:val="none" w:sz="0" w:space="0" w:color="auto"/>
            <w:left w:val="none" w:sz="0" w:space="0" w:color="auto"/>
            <w:bottom w:val="none" w:sz="0" w:space="0" w:color="auto"/>
            <w:right w:val="none" w:sz="0" w:space="0" w:color="auto"/>
          </w:divBdr>
        </w:div>
        <w:div w:id="1608846380">
          <w:marLeft w:val="547"/>
          <w:marRight w:val="0"/>
          <w:marTop w:val="200"/>
          <w:marBottom w:val="0"/>
          <w:divBdr>
            <w:top w:val="none" w:sz="0" w:space="0" w:color="auto"/>
            <w:left w:val="none" w:sz="0" w:space="0" w:color="auto"/>
            <w:bottom w:val="none" w:sz="0" w:space="0" w:color="auto"/>
            <w:right w:val="none" w:sz="0" w:space="0" w:color="auto"/>
          </w:divBdr>
        </w:div>
        <w:div w:id="1394354399">
          <w:marLeft w:val="547"/>
          <w:marRight w:val="0"/>
          <w:marTop w:val="200"/>
          <w:marBottom w:val="0"/>
          <w:divBdr>
            <w:top w:val="none" w:sz="0" w:space="0" w:color="auto"/>
            <w:left w:val="none" w:sz="0" w:space="0" w:color="auto"/>
            <w:bottom w:val="none" w:sz="0" w:space="0" w:color="auto"/>
            <w:right w:val="none" w:sz="0" w:space="0" w:color="auto"/>
          </w:divBdr>
        </w:div>
      </w:divsChild>
    </w:div>
    <w:div w:id="210652322">
      <w:bodyDiv w:val="1"/>
      <w:marLeft w:val="0"/>
      <w:marRight w:val="0"/>
      <w:marTop w:val="0"/>
      <w:marBottom w:val="0"/>
      <w:divBdr>
        <w:top w:val="none" w:sz="0" w:space="0" w:color="auto"/>
        <w:left w:val="none" w:sz="0" w:space="0" w:color="auto"/>
        <w:bottom w:val="none" w:sz="0" w:space="0" w:color="auto"/>
        <w:right w:val="none" w:sz="0" w:space="0" w:color="auto"/>
      </w:divBdr>
    </w:div>
    <w:div w:id="245506687">
      <w:bodyDiv w:val="1"/>
      <w:marLeft w:val="0"/>
      <w:marRight w:val="0"/>
      <w:marTop w:val="0"/>
      <w:marBottom w:val="0"/>
      <w:divBdr>
        <w:top w:val="none" w:sz="0" w:space="0" w:color="auto"/>
        <w:left w:val="none" w:sz="0" w:space="0" w:color="auto"/>
        <w:bottom w:val="none" w:sz="0" w:space="0" w:color="auto"/>
        <w:right w:val="none" w:sz="0" w:space="0" w:color="auto"/>
      </w:divBdr>
    </w:div>
    <w:div w:id="300112089">
      <w:bodyDiv w:val="1"/>
      <w:marLeft w:val="0"/>
      <w:marRight w:val="0"/>
      <w:marTop w:val="0"/>
      <w:marBottom w:val="0"/>
      <w:divBdr>
        <w:top w:val="none" w:sz="0" w:space="0" w:color="auto"/>
        <w:left w:val="none" w:sz="0" w:space="0" w:color="auto"/>
        <w:bottom w:val="none" w:sz="0" w:space="0" w:color="auto"/>
        <w:right w:val="none" w:sz="0" w:space="0" w:color="auto"/>
      </w:divBdr>
      <w:divsChild>
        <w:div w:id="897474665">
          <w:marLeft w:val="547"/>
          <w:marRight w:val="0"/>
          <w:marTop w:val="200"/>
          <w:marBottom w:val="0"/>
          <w:divBdr>
            <w:top w:val="none" w:sz="0" w:space="0" w:color="auto"/>
            <w:left w:val="none" w:sz="0" w:space="0" w:color="auto"/>
            <w:bottom w:val="none" w:sz="0" w:space="0" w:color="auto"/>
            <w:right w:val="none" w:sz="0" w:space="0" w:color="auto"/>
          </w:divBdr>
        </w:div>
        <w:div w:id="374357914">
          <w:marLeft w:val="547"/>
          <w:marRight w:val="0"/>
          <w:marTop w:val="200"/>
          <w:marBottom w:val="0"/>
          <w:divBdr>
            <w:top w:val="none" w:sz="0" w:space="0" w:color="auto"/>
            <w:left w:val="none" w:sz="0" w:space="0" w:color="auto"/>
            <w:bottom w:val="none" w:sz="0" w:space="0" w:color="auto"/>
            <w:right w:val="none" w:sz="0" w:space="0" w:color="auto"/>
          </w:divBdr>
        </w:div>
      </w:divsChild>
    </w:div>
    <w:div w:id="470483794">
      <w:bodyDiv w:val="1"/>
      <w:marLeft w:val="0"/>
      <w:marRight w:val="0"/>
      <w:marTop w:val="0"/>
      <w:marBottom w:val="0"/>
      <w:divBdr>
        <w:top w:val="none" w:sz="0" w:space="0" w:color="auto"/>
        <w:left w:val="none" w:sz="0" w:space="0" w:color="auto"/>
        <w:bottom w:val="none" w:sz="0" w:space="0" w:color="auto"/>
        <w:right w:val="none" w:sz="0" w:space="0" w:color="auto"/>
      </w:divBdr>
      <w:divsChild>
        <w:div w:id="524055480">
          <w:marLeft w:val="547"/>
          <w:marRight w:val="0"/>
          <w:marTop w:val="200"/>
          <w:marBottom w:val="0"/>
          <w:divBdr>
            <w:top w:val="none" w:sz="0" w:space="0" w:color="auto"/>
            <w:left w:val="none" w:sz="0" w:space="0" w:color="auto"/>
            <w:bottom w:val="none" w:sz="0" w:space="0" w:color="auto"/>
            <w:right w:val="none" w:sz="0" w:space="0" w:color="auto"/>
          </w:divBdr>
        </w:div>
        <w:div w:id="1829662185">
          <w:marLeft w:val="547"/>
          <w:marRight w:val="0"/>
          <w:marTop w:val="200"/>
          <w:marBottom w:val="0"/>
          <w:divBdr>
            <w:top w:val="none" w:sz="0" w:space="0" w:color="auto"/>
            <w:left w:val="none" w:sz="0" w:space="0" w:color="auto"/>
            <w:bottom w:val="none" w:sz="0" w:space="0" w:color="auto"/>
            <w:right w:val="none" w:sz="0" w:space="0" w:color="auto"/>
          </w:divBdr>
        </w:div>
        <w:div w:id="1345789602">
          <w:marLeft w:val="547"/>
          <w:marRight w:val="0"/>
          <w:marTop w:val="200"/>
          <w:marBottom w:val="0"/>
          <w:divBdr>
            <w:top w:val="none" w:sz="0" w:space="0" w:color="auto"/>
            <w:left w:val="none" w:sz="0" w:space="0" w:color="auto"/>
            <w:bottom w:val="none" w:sz="0" w:space="0" w:color="auto"/>
            <w:right w:val="none" w:sz="0" w:space="0" w:color="auto"/>
          </w:divBdr>
        </w:div>
        <w:div w:id="1187672478">
          <w:marLeft w:val="547"/>
          <w:marRight w:val="0"/>
          <w:marTop w:val="200"/>
          <w:marBottom w:val="0"/>
          <w:divBdr>
            <w:top w:val="none" w:sz="0" w:space="0" w:color="auto"/>
            <w:left w:val="none" w:sz="0" w:space="0" w:color="auto"/>
            <w:bottom w:val="none" w:sz="0" w:space="0" w:color="auto"/>
            <w:right w:val="none" w:sz="0" w:space="0" w:color="auto"/>
          </w:divBdr>
        </w:div>
        <w:div w:id="1321537656">
          <w:marLeft w:val="547"/>
          <w:marRight w:val="0"/>
          <w:marTop w:val="200"/>
          <w:marBottom w:val="0"/>
          <w:divBdr>
            <w:top w:val="none" w:sz="0" w:space="0" w:color="auto"/>
            <w:left w:val="none" w:sz="0" w:space="0" w:color="auto"/>
            <w:bottom w:val="none" w:sz="0" w:space="0" w:color="auto"/>
            <w:right w:val="none" w:sz="0" w:space="0" w:color="auto"/>
          </w:divBdr>
        </w:div>
        <w:div w:id="1734967169">
          <w:marLeft w:val="547"/>
          <w:marRight w:val="0"/>
          <w:marTop w:val="200"/>
          <w:marBottom w:val="0"/>
          <w:divBdr>
            <w:top w:val="none" w:sz="0" w:space="0" w:color="auto"/>
            <w:left w:val="none" w:sz="0" w:space="0" w:color="auto"/>
            <w:bottom w:val="none" w:sz="0" w:space="0" w:color="auto"/>
            <w:right w:val="none" w:sz="0" w:space="0" w:color="auto"/>
          </w:divBdr>
        </w:div>
      </w:divsChild>
    </w:div>
    <w:div w:id="545336675">
      <w:bodyDiv w:val="1"/>
      <w:marLeft w:val="0"/>
      <w:marRight w:val="0"/>
      <w:marTop w:val="0"/>
      <w:marBottom w:val="0"/>
      <w:divBdr>
        <w:top w:val="none" w:sz="0" w:space="0" w:color="auto"/>
        <w:left w:val="none" w:sz="0" w:space="0" w:color="auto"/>
        <w:bottom w:val="none" w:sz="0" w:space="0" w:color="auto"/>
        <w:right w:val="none" w:sz="0" w:space="0" w:color="auto"/>
      </w:divBdr>
      <w:divsChild>
        <w:div w:id="1653558287">
          <w:marLeft w:val="547"/>
          <w:marRight w:val="0"/>
          <w:marTop w:val="200"/>
          <w:marBottom w:val="0"/>
          <w:divBdr>
            <w:top w:val="none" w:sz="0" w:space="0" w:color="auto"/>
            <w:left w:val="none" w:sz="0" w:space="0" w:color="auto"/>
            <w:bottom w:val="none" w:sz="0" w:space="0" w:color="auto"/>
            <w:right w:val="none" w:sz="0" w:space="0" w:color="auto"/>
          </w:divBdr>
        </w:div>
        <w:div w:id="543519699">
          <w:marLeft w:val="547"/>
          <w:marRight w:val="0"/>
          <w:marTop w:val="200"/>
          <w:marBottom w:val="0"/>
          <w:divBdr>
            <w:top w:val="none" w:sz="0" w:space="0" w:color="auto"/>
            <w:left w:val="none" w:sz="0" w:space="0" w:color="auto"/>
            <w:bottom w:val="none" w:sz="0" w:space="0" w:color="auto"/>
            <w:right w:val="none" w:sz="0" w:space="0" w:color="auto"/>
          </w:divBdr>
        </w:div>
        <w:div w:id="247346304">
          <w:marLeft w:val="547"/>
          <w:marRight w:val="0"/>
          <w:marTop w:val="200"/>
          <w:marBottom w:val="0"/>
          <w:divBdr>
            <w:top w:val="none" w:sz="0" w:space="0" w:color="auto"/>
            <w:left w:val="none" w:sz="0" w:space="0" w:color="auto"/>
            <w:bottom w:val="none" w:sz="0" w:space="0" w:color="auto"/>
            <w:right w:val="none" w:sz="0" w:space="0" w:color="auto"/>
          </w:divBdr>
        </w:div>
      </w:divsChild>
    </w:div>
    <w:div w:id="568809740">
      <w:bodyDiv w:val="1"/>
      <w:marLeft w:val="0"/>
      <w:marRight w:val="0"/>
      <w:marTop w:val="0"/>
      <w:marBottom w:val="0"/>
      <w:divBdr>
        <w:top w:val="none" w:sz="0" w:space="0" w:color="auto"/>
        <w:left w:val="none" w:sz="0" w:space="0" w:color="auto"/>
        <w:bottom w:val="none" w:sz="0" w:space="0" w:color="auto"/>
        <w:right w:val="none" w:sz="0" w:space="0" w:color="auto"/>
      </w:divBdr>
      <w:divsChild>
        <w:div w:id="5985209">
          <w:marLeft w:val="547"/>
          <w:marRight w:val="0"/>
          <w:marTop w:val="200"/>
          <w:marBottom w:val="0"/>
          <w:divBdr>
            <w:top w:val="none" w:sz="0" w:space="0" w:color="auto"/>
            <w:left w:val="none" w:sz="0" w:space="0" w:color="auto"/>
            <w:bottom w:val="none" w:sz="0" w:space="0" w:color="auto"/>
            <w:right w:val="none" w:sz="0" w:space="0" w:color="auto"/>
          </w:divBdr>
        </w:div>
        <w:div w:id="2114981191">
          <w:marLeft w:val="547"/>
          <w:marRight w:val="0"/>
          <w:marTop w:val="200"/>
          <w:marBottom w:val="0"/>
          <w:divBdr>
            <w:top w:val="none" w:sz="0" w:space="0" w:color="auto"/>
            <w:left w:val="none" w:sz="0" w:space="0" w:color="auto"/>
            <w:bottom w:val="none" w:sz="0" w:space="0" w:color="auto"/>
            <w:right w:val="none" w:sz="0" w:space="0" w:color="auto"/>
          </w:divBdr>
        </w:div>
        <w:div w:id="1025907478">
          <w:marLeft w:val="547"/>
          <w:marRight w:val="0"/>
          <w:marTop w:val="200"/>
          <w:marBottom w:val="0"/>
          <w:divBdr>
            <w:top w:val="none" w:sz="0" w:space="0" w:color="auto"/>
            <w:left w:val="none" w:sz="0" w:space="0" w:color="auto"/>
            <w:bottom w:val="none" w:sz="0" w:space="0" w:color="auto"/>
            <w:right w:val="none" w:sz="0" w:space="0" w:color="auto"/>
          </w:divBdr>
        </w:div>
        <w:div w:id="1244334552">
          <w:marLeft w:val="547"/>
          <w:marRight w:val="0"/>
          <w:marTop w:val="200"/>
          <w:marBottom w:val="0"/>
          <w:divBdr>
            <w:top w:val="none" w:sz="0" w:space="0" w:color="auto"/>
            <w:left w:val="none" w:sz="0" w:space="0" w:color="auto"/>
            <w:bottom w:val="none" w:sz="0" w:space="0" w:color="auto"/>
            <w:right w:val="none" w:sz="0" w:space="0" w:color="auto"/>
          </w:divBdr>
        </w:div>
        <w:div w:id="1983921660">
          <w:marLeft w:val="547"/>
          <w:marRight w:val="0"/>
          <w:marTop w:val="200"/>
          <w:marBottom w:val="0"/>
          <w:divBdr>
            <w:top w:val="none" w:sz="0" w:space="0" w:color="auto"/>
            <w:left w:val="none" w:sz="0" w:space="0" w:color="auto"/>
            <w:bottom w:val="none" w:sz="0" w:space="0" w:color="auto"/>
            <w:right w:val="none" w:sz="0" w:space="0" w:color="auto"/>
          </w:divBdr>
        </w:div>
        <w:div w:id="1863744275">
          <w:marLeft w:val="547"/>
          <w:marRight w:val="0"/>
          <w:marTop w:val="200"/>
          <w:marBottom w:val="0"/>
          <w:divBdr>
            <w:top w:val="none" w:sz="0" w:space="0" w:color="auto"/>
            <w:left w:val="none" w:sz="0" w:space="0" w:color="auto"/>
            <w:bottom w:val="none" w:sz="0" w:space="0" w:color="auto"/>
            <w:right w:val="none" w:sz="0" w:space="0" w:color="auto"/>
          </w:divBdr>
        </w:div>
        <w:div w:id="41952561">
          <w:marLeft w:val="547"/>
          <w:marRight w:val="0"/>
          <w:marTop w:val="200"/>
          <w:marBottom w:val="0"/>
          <w:divBdr>
            <w:top w:val="none" w:sz="0" w:space="0" w:color="auto"/>
            <w:left w:val="none" w:sz="0" w:space="0" w:color="auto"/>
            <w:bottom w:val="none" w:sz="0" w:space="0" w:color="auto"/>
            <w:right w:val="none" w:sz="0" w:space="0" w:color="auto"/>
          </w:divBdr>
        </w:div>
        <w:div w:id="572664464">
          <w:marLeft w:val="547"/>
          <w:marRight w:val="0"/>
          <w:marTop w:val="200"/>
          <w:marBottom w:val="0"/>
          <w:divBdr>
            <w:top w:val="none" w:sz="0" w:space="0" w:color="auto"/>
            <w:left w:val="none" w:sz="0" w:space="0" w:color="auto"/>
            <w:bottom w:val="none" w:sz="0" w:space="0" w:color="auto"/>
            <w:right w:val="none" w:sz="0" w:space="0" w:color="auto"/>
          </w:divBdr>
        </w:div>
        <w:div w:id="2046129727">
          <w:marLeft w:val="547"/>
          <w:marRight w:val="0"/>
          <w:marTop w:val="200"/>
          <w:marBottom w:val="0"/>
          <w:divBdr>
            <w:top w:val="none" w:sz="0" w:space="0" w:color="auto"/>
            <w:left w:val="none" w:sz="0" w:space="0" w:color="auto"/>
            <w:bottom w:val="none" w:sz="0" w:space="0" w:color="auto"/>
            <w:right w:val="none" w:sz="0" w:space="0" w:color="auto"/>
          </w:divBdr>
        </w:div>
        <w:div w:id="310601869">
          <w:marLeft w:val="547"/>
          <w:marRight w:val="0"/>
          <w:marTop w:val="200"/>
          <w:marBottom w:val="0"/>
          <w:divBdr>
            <w:top w:val="none" w:sz="0" w:space="0" w:color="auto"/>
            <w:left w:val="none" w:sz="0" w:space="0" w:color="auto"/>
            <w:bottom w:val="none" w:sz="0" w:space="0" w:color="auto"/>
            <w:right w:val="none" w:sz="0" w:space="0" w:color="auto"/>
          </w:divBdr>
        </w:div>
      </w:divsChild>
    </w:div>
    <w:div w:id="578177307">
      <w:bodyDiv w:val="1"/>
      <w:marLeft w:val="0"/>
      <w:marRight w:val="0"/>
      <w:marTop w:val="0"/>
      <w:marBottom w:val="0"/>
      <w:divBdr>
        <w:top w:val="none" w:sz="0" w:space="0" w:color="auto"/>
        <w:left w:val="none" w:sz="0" w:space="0" w:color="auto"/>
        <w:bottom w:val="none" w:sz="0" w:space="0" w:color="auto"/>
        <w:right w:val="none" w:sz="0" w:space="0" w:color="auto"/>
      </w:divBdr>
    </w:div>
    <w:div w:id="589705990">
      <w:bodyDiv w:val="1"/>
      <w:marLeft w:val="0"/>
      <w:marRight w:val="0"/>
      <w:marTop w:val="0"/>
      <w:marBottom w:val="0"/>
      <w:divBdr>
        <w:top w:val="none" w:sz="0" w:space="0" w:color="auto"/>
        <w:left w:val="none" w:sz="0" w:space="0" w:color="auto"/>
        <w:bottom w:val="none" w:sz="0" w:space="0" w:color="auto"/>
        <w:right w:val="none" w:sz="0" w:space="0" w:color="auto"/>
      </w:divBdr>
    </w:div>
    <w:div w:id="634530039">
      <w:bodyDiv w:val="1"/>
      <w:marLeft w:val="0"/>
      <w:marRight w:val="0"/>
      <w:marTop w:val="0"/>
      <w:marBottom w:val="0"/>
      <w:divBdr>
        <w:top w:val="none" w:sz="0" w:space="0" w:color="auto"/>
        <w:left w:val="none" w:sz="0" w:space="0" w:color="auto"/>
        <w:bottom w:val="none" w:sz="0" w:space="0" w:color="auto"/>
        <w:right w:val="none" w:sz="0" w:space="0" w:color="auto"/>
      </w:divBdr>
      <w:divsChild>
        <w:div w:id="247351592">
          <w:marLeft w:val="-225"/>
          <w:marRight w:val="-225"/>
          <w:marTop w:val="0"/>
          <w:marBottom w:val="0"/>
          <w:divBdr>
            <w:top w:val="none" w:sz="0" w:space="0" w:color="auto"/>
            <w:left w:val="none" w:sz="0" w:space="0" w:color="auto"/>
            <w:bottom w:val="none" w:sz="0" w:space="0" w:color="auto"/>
            <w:right w:val="none" w:sz="0" w:space="0" w:color="auto"/>
          </w:divBdr>
          <w:divsChild>
            <w:div w:id="33766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626047">
      <w:bodyDiv w:val="1"/>
      <w:marLeft w:val="0"/>
      <w:marRight w:val="0"/>
      <w:marTop w:val="0"/>
      <w:marBottom w:val="0"/>
      <w:divBdr>
        <w:top w:val="none" w:sz="0" w:space="0" w:color="auto"/>
        <w:left w:val="none" w:sz="0" w:space="0" w:color="auto"/>
        <w:bottom w:val="none" w:sz="0" w:space="0" w:color="auto"/>
        <w:right w:val="none" w:sz="0" w:space="0" w:color="auto"/>
      </w:divBdr>
      <w:divsChild>
        <w:div w:id="1735277431">
          <w:marLeft w:val="0"/>
          <w:marRight w:val="0"/>
          <w:marTop w:val="0"/>
          <w:marBottom w:val="0"/>
          <w:divBdr>
            <w:top w:val="none" w:sz="0" w:space="0" w:color="auto"/>
            <w:left w:val="none" w:sz="0" w:space="0" w:color="auto"/>
            <w:bottom w:val="none" w:sz="0" w:space="0" w:color="auto"/>
            <w:right w:val="none" w:sz="0" w:space="0" w:color="auto"/>
          </w:divBdr>
        </w:div>
        <w:div w:id="1517233348">
          <w:marLeft w:val="0"/>
          <w:marRight w:val="0"/>
          <w:marTop w:val="0"/>
          <w:marBottom w:val="0"/>
          <w:divBdr>
            <w:top w:val="none" w:sz="0" w:space="0" w:color="auto"/>
            <w:left w:val="none" w:sz="0" w:space="0" w:color="auto"/>
            <w:bottom w:val="none" w:sz="0" w:space="0" w:color="auto"/>
            <w:right w:val="none" w:sz="0" w:space="0" w:color="auto"/>
          </w:divBdr>
        </w:div>
        <w:div w:id="1933541367">
          <w:marLeft w:val="0"/>
          <w:marRight w:val="0"/>
          <w:marTop w:val="0"/>
          <w:marBottom w:val="0"/>
          <w:divBdr>
            <w:top w:val="none" w:sz="0" w:space="0" w:color="auto"/>
            <w:left w:val="none" w:sz="0" w:space="0" w:color="auto"/>
            <w:bottom w:val="none" w:sz="0" w:space="0" w:color="auto"/>
            <w:right w:val="none" w:sz="0" w:space="0" w:color="auto"/>
          </w:divBdr>
        </w:div>
        <w:div w:id="1743021231">
          <w:marLeft w:val="0"/>
          <w:marRight w:val="0"/>
          <w:marTop w:val="0"/>
          <w:marBottom w:val="0"/>
          <w:divBdr>
            <w:top w:val="none" w:sz="0" w:space="0" w:color="auto"/>
            <w:left w:val="none" w:sz="0" w:space="0" w:color="auto"/>
            <w:bottom w:val="none" w:sz="0" w:space="0" w:color="auto"/>
            <w:right w:val="none" w:sz="0" w:space="0" w:color="auto"/>
          </w:divBdr>
        </w:div>
      </w:divsChild>
    </w:div>
    <w:div w:id="675305108">
      <w:bodyDiv w:val="1"/>
      <w:marLeft w:val="0"/>
      <w:marRight w:val="0"/>
      <w:marTop w:val="0"/>
      <w:marBottom w:val="0"/>
      <w:divBdr>
        <w:top w:val="none" w:sz="0" w:space="0" w:color="auto"/>
        <w:left w:val="none" w:sz="0" w:space="0" w:color="auto"/>
        <w:bottom w:val="none" w:sz="0" w:space="0" w:color="auto"/>
        <w:right w:val="none" w:sz="0" w:space="0" w:color="auto"/>
      </w:divBdr>
    </w:div>
    <w:div w:id="698166636">
      <w:bodyDiv w:val="1"/>
      <w:marLeft w:val="0"/>
      <w:marRight w:val="0"/>
      <w:marTop w:val="0"/>
      <w:marBottom w:val="0"/>
      <w:divBdr>
        <w:top w:val="none" w:sz="0" w:space="0" w:color="auto"/>
        <w:left w:val="none" w:sz="0" w:space="0" w:color="auto"/>
        <w:bottom w:val="none" w:sz="0" w:space="0" w:color="auto"/>
        <w:right w:val="none" w:sz="0" w:space="0" w:color="auto"/>
      </w:divBdr>
      <w:divsChild>
        <w:div w:id="2069497200">
          <w:marLeft w:val="547"/>
          <w:marRight w:val="0"/>
          <w:marTop w:val="200"/>
          <w:marBottom w:val="0"/>
          <w:divBdr>
            <w:top w:val="none" w:sz="0" w:space="0" w:color="auto"/>
            <w:left w:val="none" w:sz="0" w:space="0" w:color="auto"/>
            <w:bottom w:val="none" w:sz="0" w:space="0" w:color="auto"/>
            <w:right w:val="none" w:sz="0" w:space="0" w:color="auto"/>
          </w:divBdr>
        </w:div>
        <w:div w:id="155532426">
          <w:marLeft w:val="547"/>
          <w:marRight w:val="0"/>
          <w:marTop w:val="200"/>
          <w:marBottom w:val="0"/>
          <w:divBdr>
            <w:top w:val="none" w:sz="0" w:space="0" w:color="auto"/>
            <w:left w:val="none" w:sz="0" w:space="0" w:color="auto"/>
            <w:bottom w:val="none" w:sz="0" w:space="0" w:color="auto"/>
            <w:right w:val="none" w:sz="0" w:space="0" w:color="auto"/>
          </w:divBdr>
        </w:div>
        <w:div w:id="677266968">
          <w:marLeft w:val="547"/>
          <w:marRight w:val="0"/>
          <w:marTop w:val="200"/>
          <w:marBottom w:val="0"/>
          <w:divBdr>
            <w:top w:val="none" w:sz="0" w:space="0" w:color="auto"/>
            <w:left w:val="none" w:sz="0" w:space="0" w:color="auto"/>
            <w:bottom w:val="none" w:sz="0" w:space="0" w:color="auto"/>
            <w:right w:val="none" w:sz="0" w:space="0" w:color="auto"/>
          </w:divBdr>
        </w:div>
      </w:divsChild>
    </w:div>
    <w:div w:id="718168709">
      <w:bodyDiv w:val="1"/>
      <w:marLeft w:val="0"/>
      <w:marRight w:val="0"/>
      <w:marTop w:val="0"/>
      <w:marBottom w:val="0"/>
      <w:divBdr>
        <w:top w:val="none" w:sz="0" w:space="0" w:color="auto"/>
        <w:left w:val="none" w:sz="0" w:space="0" w:color="auto"/>
        <w:bottom w:val="none" w:sz="0" w:space="0" w:color="auto"/>
        <w:right w:val="none" w:sz="0" w:space="0" w:color="auto"/>
      </w:divBdr>
      <w:divsChild>
        <w:div w:id="1204976569">
          <w:marLeft w:val="0"/>
          <w:marRight w:val="0"/>
          <w:marTop w:val="0"/>
          <w:marBottom w:val="0"/>
          <w:divBdr>
            <w:top w:val="none" w:sz="0" w:space="0" w:color="auto"/>
            <w:left w:val="none" w:sz="0" w:space="0" w:color="auto"/>
            <w:bottom w:val="none" w:sz="0" w:space="0" w:color="auto"/>
            <w:right w:val="none" w:sz="0" w:space="0" w:color="auto"/>
          </w:divBdr>
        </w:div>
        <w:div w:id="376006157">
          <w:marLeft w:val="0"/>
          <w:marRight w:val="0"/>
          <w:marTop w:val="0"/>
          <w:marBottom w:val="0"/>
          <w:divBdr>
            <w:top w:val="none" w:sz="0" w:space="0" w:color="auto"/>
            <w:left w:val="none" w:sz="0" w:space="0" w:color="auto"/>
            <w:bottom w:val="none" w:sz="0" w:space="0" w:color="auto"/>
            <w:right w:val="none" w:sz="0" w:space="0" w:color="auto"/>
          </w:divBdr>
        </w:div>
        <w:div w:id="497967548">
          <w:marLeft w:val="0"/>
          <w:marRight w:val="0"/>
          <w:marTop w:val="0"/>
          <w:marBottom w:val="0"/>
          <w:divBdr>
            <w:top w:val="none" w:sz="0" w:space="0" w:color="auto"/>
            <w:left w:val="none" w:sz="0" w:space="0" w:color="auto"/>
            <w:bottom w:val="none" w:sz="0" w:space="0" w:color="auto"/>
            <w:right w:val="none" w:sz="0" w:space="0" w:color="auto"/>
          </w:divBdr>
        </w:div>
        <w:div w:id="260377165">
          <w:marLeft w:val="0"/>
          <w:marRight w:val="0"/>
          <w:marTop w:val="0"/>
          <w:marBottom w:val="0"/>
          <w:divBdr>
            <w:top w:val="none" w:sz="0" w:space="0" w:color="auto"/>
            <w:left w:val="none" w:sz="0" w:space="0" w:color="auto"/>
            <w:bottom w:val="none" w:sz="0" w:space="0" w:color="auto"/>
            <w:right w:val="none" w:sz="0" w:space="0" w:color="auto"/>
          </w:divBdr>
        </w:div>
      </w:divsChild>
    </w:div>
    <w:div w:id="793256024">
      <w:bodyDiv w:val="1"/>
      <w:marLeft w:val="0"/>
      <w:marRight w:val="0"/>
      <w:marTop w:val="0"/>
      <w:marBottom w:val="0"/>
      <w:divBdr>
        <w:top w:val="none" w:sz="0" w:space="0" w:color="auto"/>
        <w:left w:val="none" w:sz="0" w:space="0" w:color="auto"/>
        <w:bottom w:val="none" w:sz="0" w:space="0" w:color="auto"/>
        <w:right w:val="none" w:sz="0" w:space="0" w:color="auto"/>
      </w:divBdr>
      <w:divsChild>
        <w:div w:id="1454665134">
          <w:marLeft w:val="547"/>
          <w:marRight w:val="0"/>
          <w:marTop w:val="200"/>
          <w:marBottom w:val="0"/>
          <w:divBdr>
            <w:top w:val="none" w:sz="0" w:space="0" w:color="auto"/>
            <w:left w:val="none" w:sz="0" w:space="0" w:color="auto"/>
            <w:bottom w:val="none" w:sz="0" w:space="0" w:color="auto"/>
            <w:right w:val="none" w:sz="0" w:space="0" w:color="auto"/>
          </w:divBdr>
        </w:div>
        <w:div w:id="1650790273">
          <w:marLeft w:val="547"/>
          <w:marRight w:val="0"/>
          <w:marTop w:val="200"/>
          <w:marBottom w:val="0"/>
          <w:divBdr>
            <w:top w:val="none" w:sz="0" w:space="0" w:color="auto"/>
            <w:left w:val="none" w:sz="0" w:space="0" w:color="auto"/>
            <w:bottom w:val="none" w:sz="0" w:space="0" w:color="auto"/>
            <w:right w:val="none" w:sz="0" w:space="0" w:color="auto"/>
          </w:divBdr>
        </w:div>
        <w:div w:id="297999872">
          <w:marLeft w:val="547"/>
          <w:marRight w:val="0"/>
          <w:marTop w:val="200"/>
          <w:marBottom w:val="0"/>
          <w:divBdr>
            <w:top w:val="none" w:sz="0" w:space="0" w:color="auto"/>
            <w:left w:val="none" w:sz="0" w:space="0" w:color="auto"/>
            <w:bottom w:val="none" w:sz="0" w:space="0" w:color="auto"/>
            <w:right w:val="none" w:sz="0" w:space="0" w:color="auto"/>
          </w:divBdr>
        </w:div>
        <w:div w:id="1406028273">
          <w:marLeft w:val="547"/>
          <w:marRight w:val="0"/>
          <w:marTop w:val="200"/>
          <w:marBottom w:val="0"/>
          <w:divBdr>
            <w:top w:val="none" w:sz="0" w:space="0" w:color="auto"/>
            <w:left w:val="none" w:sz="0" w:space="0" w:color="auto"/>
            <w:bottom w:val="none" w:sz="0" w:space="0" w:color="auto"/>
            <w:right w:val="none" w:sz="0" w:space="0" w:color="auto"/>
          </w:divBdr>
        </w:div>
      </w:divsChild>
    </w:div>
    <w:div w:id="812991478">
      <w:bodyDiv w:val="1"/>
      <w:marLeft w:val="0"/>
      <w:marRight w:val="0"/>
      <w:marTop w:val="0"/>
      <w:marBottom w:val="0"/>
      <w:divBdr>
        <w:top w:val="none" w:sz="0" w:space="0" w:color="auto"/>
        <w:left w:val="none" w:sz="0" w:space="0" w:color="auto"/>
        <w:bottom w:val="none" w:sz="0" w:space="0" w:color="auto"/>
        <w:right w:val="none" w:sz="0" w:space="0" w:color="auto"/>
      </w:divBdr>
      <w:divsChild>
        <w:div w:id="371813013">
          <w:marLeft w:val="547"/>
          <w:marRight w:val="0"/>
          <w:marTop w:val="200"/>
          <w:marBottom w:val="0"/>
          <w:divBdr>
            <w:top w:val="none" w:sz="0" w:space="0" w:color="auto"/>
            <w:left w:val="none" w:sz="0" w:space="0" w:color="auto"/>
            <w:bottom w:val="none" w:sz="0" w:space="0" w:color="auto"/>
            <w:right w:val="none" w:sz="0" w:space="0" w:color="auto"/>
          </w:divBdr>
        </w:div>
        <w:div w:id="1282344617">
          <w:marLeft w:val="547"/>
          <w:marRight w:val="0"/>
          <w:marTop w:val="200"/>
          <w:marBottom w:val="0"/>
          <w:divBdr>
            <w:top w:val="none" w:sz="0" w:space="0" w:color="auto"/>
            <w:left w:val="none" w:sz="0" w:space="0" w:color="auto"/>
            <w:bottom w:val="none" w:sz="0" w:space="0" w:color="auto"/>
            <w:right w:val="none" w:sz="0" w:space="0" w:color="auto"/>
          </w:divBdr>
        </w:div>
        <w:div w:id="1043939393">
          <w:marLeft w:val="547"/>
          <w:marRight w:val="0"/>
          <w:marTop w:val="200"/>
          <w:marBottom w:val="0"/>
          <w:divBdr>
            <w:top w:val="none" w:sz="0" w:space="0" w:color="auto"/>
            <w:left w:val="none" w:sz="0" w:space="0" w:color="auto"/>
            <w:bottom w:val="none" w:sz="0" w:space="0" w:color="auto"/>
            <w:right w:val="none" w:sz="0" w:space="0" w:color="auto"/>
          </w:divBdr>
        </w:div>
        <w:div w:id="1225602640">
          <w:marLeft w:val="547"/>
          <w:marRight w:val="0"/>
          <w:marTop w:val="200"/>
          <w:marBottom w:val="0"/>
          <w:divBdr>
            <w:top w:val="none" w:sz="0" w:space="0" w:color="auto"/>
            <w:left w:val="none" w:sz="0" w:space="0" w:color="auto"/>
            <w:bottom w:val="none" w:sz="0" w:space="0" w:color="auto"/>
            <w:right w:val="none" w:sz="0" w:space="0" w:color="auto"/>
          </w:divBdr>
        </w:div>
      </w:divsChild>
    </w:div>
    <w:div w:id="819614890">
      <w:bodyDiv w:val="1"/>
      <w:marLeft w:val="0"/>
      <w:marRight w:val="0"/>
      <w:marTop w:val="0"/>
      <w:marBottom w:val="0"/>
      <w:divBdr>
        <w:top w:val="none" w:sz="0" w:space="0" w:color="auto"/>
        <w:left w:val="none" w:sz="0" w:space="0" w:color="auto"/>
        <w:bottom w:val="none" w:sz="0" w:space="0" w:color="auto"/>
        <w:right w:val="none" w:sz="0" w:space="0" w:color="auto"/>
      </w:divBdr>
      <w:divsChild>
        <w:div w:id="15274188">
          <w:marLeft w:val="547"/>
          <w:marRight w:val="0"/>
          <w:marTop w:val="200"/>
          <w:marBottom w:val="0"/>
          <w:divBdr>
            <w:top w:val="none" w:sz="0" w:space="0" w:color="auto"/>
            <w:left w:val="none" w:sz="0" w:space="0" w:color="auto"/>
            <w:bottom w:val="none" w:sz="0" w:space="0" w:color="auto"/>
            <w:right w:val="none" w:sz="0" w:space="0" w:color="auto"/>
          </w:divBdr>
        </w:div>
        <w:div w:id="1228959444">
          <w:marLeft w:val="547"/>
          <w:marRight w:val="0"/>
          <w:marTop w:val="200"/>
          <w:marBottom w:val="0"/>
          <w:divBdr>
            <w:top w:val="none" w:sz="0" w:space="0" w:color="auto"/>
            <w:left w:val="none" w:sz="0" w:space="0" w:color="auto"/>
            <w:bottom w:val="none" w:sz="0" w:space="0" w:color="auto"/>
            <w:right w:val="none" w:sz="0" w:space="0" w:color="auto"/>
          </w:divBdr>
        </w:div>
        <w:div w:id="124081085">
          <w:marLeft w:val="547"/>
          <w:marRight w:val="0"/>
          <w:marTop w:val="200"/>
          <w:marBottom w:val="0"/>
          <w:divBdr>
            <w:top w:val="none" w:sz="0" w:space="0" w:color="auto"/>
            <w:left w:val="none" w:sz="0" w:space="0" w:color="auto"/>
            <w:bottom w:val="none" w:sz="0" w:space="0" w:color="auto"/>
            <w:right w:val="none" w:sz="0" w:space="0" w:color="auto"/>
          </w:divBdr>
        </w:div>
        <w:div w:id="1143498674">
          <w:marLeft w:val="547"/>
          <w:marRight w:val="0"/>
          <w:marTop w:val="200"/>
          <w:marBottom w:val="0"/>
          <w:divBdr>
            <w:top w:val="none" w:sz="0" w:space="0" w:color="auto"/>
            <w:left w:val="none" w:sz="0" w:space="0" w:color="auto"/>
            <w:bottom w:val="none" w:sz="0" w:space="0" w:color="auto"/>
            <w:right w:val="none" w:sz="0" w:space="0" w:color="auto"/>
          </w:divBdr>
        </w:div>
      </w:divsChild>
    </w:div>
    <w:div w:id="847404507">
      <w:bodyDiv w:val="1"/>
      <w:marLeft w:val="0"/>
      <w:marRight w:val="0"/>
      <w:marTop w:val="0"/>
      <w:marBottom w:val="0"/>
      <w:divBdr>
        <w:top w:val="none" w:sz="0" w:space="0" w:color="auto"/>
        <w:left w:val="none" w:sz="0" w:space="0" w:color="auto"/>
        <w:bottom w:val="none" w:sz="0" w:space="0" w:color="auto"/>
        <w:right w:val="none" w:sz="0" w:space="0" w:color="auto"/>
      </w:divBdr>
      <w:divsChild>
        <w:div w:id="2108385184">
          <w:marLeft w:val="0"/>
          <w:marRight w:val="0"/>
          <w:marTop w:val="0"/>
          <w:marBottom w:val="300"/>
          <w:divBdr>
            <w:top w:val="none" w:sz="0" w:space="0" w:color="auto"/>
            <w:left w:val="none" w:sz="0" w:space="0" w:color="auto"/>
            <w:bottom w:val="single" w:sz="6" w:space="8" w:color="EFEFEF"/>
            <w:right w:val="none" w:sz="0" w:space="0" w:color="auto"/>
          </w:divBdr>
        </w:div>
        <w:div w:id="1100300991">
          <w:marLeft w:val="0"/>
          <w:marRight w:val="0"/>
          <w:marTop w:val="0"/>
          <w:marBottom w:val="0"/>
          <w:divBdr>
            <w:top w:val="none" w:sz="0" w:space="0" w:color="auto"/>
            <w:left w:val="none" w:sz="0" w:space="0" w:color="auto"/>
            <w:bottom w:val="none" w:sz="0" w:space="0" w:color="auto"/>
            <w:right w:val="none" w:sz="0" w:space="0" w:color="auto"/>
          </w:divBdr>
          <w:divsChild>
            <w:div w:id="607616844">
              <w:marLeft w:val="0"/>
              <w:marRight w:val="0"/>
              <w:marTop w:val="0"/>
              <w:marBottom w:val="0"/>
              <w:divBdr>
                <w:top w:val="none" w:sz="0" w:space="0" w:color="auto"/>
                <w:left w:val="none" w:sz="0" w:space="0" w:color="auto"/>
                <w:bottom w:val="none" w:sz="0" w:space="0" w:color="auto"/>
                <w:right w:val="none" w:sz="0" w:space="0" w:color="auto"/>
              </w:divBdr>
              <w:divsChild>
                <w:div w:id="204372424">
                  <w:marLeft w:val="0"/>
                  <w:marRight w:val="0"/>
                  <w:marTop w:val="0"/>
                  <w:marBottom w:val="0"/>
                  <w:divBdr>
                    <w:top w:val="none" w:sz="0" w:space="0" w:color="auto"/>
                    <w:left w:val="none" w:sz="0" w:space="0" w:color="auto"/>
                    <w:bottom w:val="none" w:sz="0" w:space="0" w:color="auto"/>
                    <w:right w:val="none" w:sz="0" w:space="0" w:color="auto"/>
                  </w:divBdr>
                  <w:divsChild>
                    <w:div w:id="1272975161">
                      <w:marLeft w:val="0"/>
                      <w:marRight w:val="0"/>
                      <w:marTop w:val="0"/>
                      <w:marBottom w:val="0"/>
                      <w:divBdr>
                        <w:top w:val="none" w:sz="0" w:space="0" w:color="auto"/>
                        <w:left w:val="none" w:sz="0" w:space="0" w:color="auto"/>
                        <w:bottom w:val="none" w:sz="0" w:space="0" w:color="auto"/>
                        <w:right w:val="none" w:sz="0" w:space="0" w:color="auto"/>
                      </w:divBdr>
                      <w:divsChild>
                        <w:div w:id="1656835773">
                          <w:marLeft w:val="0"/>
                          <w:marRight w:val="0"/>
                          <w:marTop w:val="0"/>
                          <w:marBottom w:val="0"/>
                          <w:divBdr>
                            <w:top w:val="none" w:sz="0" w:space="0" w:color="auto"/>
                            <w:left w:val="none" w:sz="0" w:space="0" w:color="auto"/>
                            <w:bottom w:val="none" w:sz="0" w:space="0" w:color="auto"/>
                            <w:right w:val="none" w:sz="0" w:space="0" w:color="auto"/>
                          </w:divBdr>
                          <w:divsChild>
                            <w:div w:id="1259682125">
                              <w:marLeft w:val="0"/>
                              <w:marRight w:val="0"/>
                              <w:marTop w:val="0"/>
                              <w:marBottom w:val="0"/>
                              <w:divBdr>
                                <w:top w:val="none" w:sz="0" w:space="0" w:color="auto"/>
                                <w:left w:val="none" w:sz="0" w:space="0" w:color="auto"/>
                                <w:bottom w:val="none" w:sz="0" w:space="0" w:color="auto"/>
                                <w:right w:val="none" w:sz="0" w:space="0" w:color="auto"/>
                              </w:divBdr>
                              <w:divsChild>
                                <w:div w:id="1591625371">
                                  <w:marLeft w:val="0"/>
                                  <w:marRight w:val="0"/>
                                  <w:marTop w:val="0"/>
                                  <w:marBottom w:val="0"/>
                                  <w:divBdr>
                                    <w:top w:val="none" w:sz="0" w:space="0" w:color="auto"/>
                                    <w:left w:val="none" w:sz="0" w:space="0" w:color="auto"/>
                                    <w:bottom w:val="none" w:sz="0" w:space="0" w:color="auto"/>
                                    <w:right w:val="none" w:sz="0" w:space="0" w:color="auto"/>
                                  </w:divBdr>
                                  <w:divsChild>
                                    <w:div w:id="1993286918">
                                      <w:marLeft w:val="0"/>
                                      <w:marRight w:val="0"/>
                                      <w:marTop w:val="0"/>
                                      <w:marBottom w:val="0"/>
                                      <w:divBdr>
                                        <w:top w:val="none" w:sz="0" w:space="0" w:color="auto"/>
                                        <w:left w:val="none" w:sz="0" w:space="0" w:color="auto"/>
                                        <w:bottom w:val="none" w:sz="0" w:space="0" w:color="auto"/>
                                        <w:right w:val="none" w:sz="0" w:space="0" w:color="auto"/>
                                      </w:divBdr>
                                      <w:divsChild>
                                        <w:div w:id="2556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0145214">
      <w:bodyDiv w:val="1"/>
      <w:marLeft w:val="0"/>
      <w:marRight w:val="0"/>
      <w:marTop w:val="0"/>
      <w:marBottom w:val="0"/>
      <w:divBdr>
        <w:top w:val="none" w:sz="0" w:space="0" w:color="auto"/>
        <w:left w:val="none" w:sz="0" w:space="0" w:color="auto"/>
        <w:bottom w:val="none" w:sz="0" w:space="0" w:color="auto"/>
        <w:right w:val="none" w:sz="0" w:space="0" w:color="auto"/>
      </w:divBdr>
    </w:div>
    <w:div w:id="865406534">
      <w:bodyDiv w:val="1"/>
      <w:marLeft w:val="0"/>
      <w:marRight w:val="0"/>
      <w:marTop w:val="0"/>
      <w:marBottom w:val="0"/>
      <w:divBdr>
        <w:top w:val="none" w:sz="0" w:space="0" w:color="auto"/>
        <w:left w:val="none" w:sz="0" w:space="0" w:color="auto"/>
        <w:bottom w:val="none" w:sz="0" w:space="0" w:color="auto"/>
        <w:right w:val="none" w:sz="0" w:space="0" w:color="auto"/>
      </w:divBdr>
    </w:div>
    <w:div w:id="883249413">
      <w:bodyDiv w:val="1"/>
      <w:marLeft w:val="0"/>
      <w:marRight w:val="0"/>
      <w:marTop w:val="0"/>
      <w:marBottom w:val="0"/>
      <w:divBdr>
        <w:top w:val="none" w:sz="0" w:space="0" w:color="auto"/>
        <w:left w:val="none" w:sz="0" w:space="0" w:color="auto"/>
        <w:bottom w:val="none" w:sz="0" w:space="0" w:color="auto"/>
        <w:right w:val="none" w:sz="0" w:space="0" w:color="auto"/>
      </w:divBdr>
      <w:divsChild>
        <w:div w:id="131681073">
          <w:marLeft w:val="547"/>
          <w:marRight w:val="0"/>
          <w:marTop w:val="200"/>
          <w:marBottom w:val="0"/>
          <w:divBdr>
            <w:top w:val="none" w:sz="0" w:space="0" w:color="auto"/>
            <w:left w:val="none" w:sz="0" w:space="0" w:color="auto"/>
            <w:bottom w:val="none" w:sz="0" w:space="0" w:color="auto"/>
            <w:right w:val="none" w:sz="0" w:space="0" w:color="auto"/>
          </w:divBdr>
        </w:div>
        <w:div w:id="25058975">
          <w:marLeft w:val="547"/>
          <w:marRight w:val="0"/>
          <w:marTop w:val="200"/>
          <w:marBottom w:val="0"/>
          <w:divBdr>
            <w:top w:val="none" w:sz="0" w:space="0" w:color="auto"/>
            <w:left w:val="none" w:sz="0" w:space="0" w:color="auto"/>
            <w:bottom w:val="none" w:sz="0" w:space="0" w:color="auto"/>
            <w:right w:val="none" w:sz="0" w:space="0" w:color="auto"/>
          </w:divBdr>
        </w:div>
        <w:div w:id="1660696533">
          <w:marLeft w:val="547"/>
          <w:marRight w:val="0"/>
          <w:marTop w:val="200"/>
          <w:marBottom w:val="0"/>
          <w:divBdr>
            <w:top w:val="none" w:sz="0" w:space="0" w:color="auto"/>
            <w:left w:val="none" w:sz="0" w:space="0" w:color="auto"/>
            <w:bottom w:val="none" w:sz="0" w:space="0" w:color="auto"/>
            <w:right w:val="none" w:sz="0" w:space="0" w:color="auto"/>
          </w:divBdr>
        </w:div>
        <w:div w:id="755521665">
          <w:marLeft w:val="547"/>
          <w:marRight w:val="0"/>
          <w:marTop w:val="200"/>
          <w:marBottom w:val="0"/>
          <w:divBdr>
            <w:top w:val="none" w:sz="0" w:space="0" w:color="auto"/>
            <w:left w:val="none" w:sz="0" w:space="0" w:color="auto"/>
            <w:bottom w:val="none" w:sz="0" w:space="0" w:color="auto"/>
            <w:right w:val="none" w:sz="0" w:space="0" w:color="auto"/>
          </w:divBdr>
        </w:div>
        <w:div w:id="1085152780">
          <w:marLeft w:val="547"/>
          <w:marRight w:val="0"/>
          <w:marTop w:val="200"/>
          <w:marBottom w:val="0"/>
          <w:divBdr>
            <w:top w:val="none" w:sz="0" w:space="0" w:color="auto"/>
            <w:left w:val="none" w:sz="0" w:space="0" w:color="auto"/>
            <w:bottom w:val="none" w:sz="0" w:space="0" w:color="auto"/>
            <w:right w:val="none" w:sz="0" w:space="0" w:color="auto"/>
          </w:divBdr>
        </w:div>
      </w:divsChild>
    </w:div>
    <w:div w:id="960842530">
      <w:bodyDiv w:val="1"/>
      <w:marLeft w:val="0"/>
      <w:marRight w:val="0"/>
      <w:marTop w:val="0"/>
      <w:marBottom w:val="0"/>
      <w:divBdr>
        <w:top w:val="none" w:sz="0" w:space="0" w:color="auto"/>
        <w:left w:val="none" w:sz="0" w:space="0" w:color="auto"/>
        <w:bottom w:val="none" w:sz="0" w:space="0" w:color="auto"/>
        <w:right w:val="none" w:sz="0" w:space="0" w:color="auto"/>
      </w:divBdr>
      <w:divsChild>
        <w:div w:id="173231011">
          <w:marLeft w:val="547"/>
          <w:marRight w:val="0"/>
          <w:marTop w:val="200"/>
          <w:marBottom w:val="0"/>
          <w:divBdr>
            <w:top w:val="none" w:sz="0" w:space="0" w:color="auto"/>
            <w:left w:val="none" w:sz="0" w:space="0" w:color="auto"/>
            <w:bottom w:val="none" w:sz="0" w:space="0" w:color="auto"/>
            <w:right w:val="none" w:sz="0" w:space="0" w:color="auto"/>
          </w:divBdr>
        </w:div>
        <w:div w:id="1600988291">
          <w:marLeft w:val="547"/>
          <w:marRight w:val="0"/>
          <w:marTop w:val="200"/>
          <w:marBottom w:val="0"/>
          <w:divBdr>
            <w:top w:val="none" w:sz="0" w:space="0" w:color="auto"/>
            <w:left w:val="none" w:sz="0" w:space="0" w:color="auto"/>
            <w:bottom w:val="none" w:sz="0" w:space="0" w:color="auto"/>
            <w:right w:val="none" w:sz="0" w:space="0" w:color="auto"/>
          </w:divBdr>
        </w:div>
      </w:divsChild>
    </w:div>
    <w:div w:id="963778528">
      <w:bodyDiv w:val="1"/>
      <w:marLeft w:val="0"/>
      <w:marRight w:val="0"/>
      <w:marTop w:val="0"/>
      <w:marBottom w:val="0"/>
      <w:divBdr>
        <w:top w:val="none" w:sz="0" w:space="0" w:color="auto"/>
        <w:left w:val="none" w:sz="0" w:space="0" w:color="auto"/>
        <w:bottom w:val="none" w:sz="0" w:space="0" w:color="auto"/>
        <w:right w:val="none" w:sz="0" w:space="0" w:color="auto"/>
      </w:divBdr>
    </w:div>
    <w:div w:id="1005939801">
      <w:bodyDiv w:val="1"/>
      <w:marLeft w:val="0"/>
      <w:marRight w:val="0"/>
      <w:marTop w:val="0"/>
      <w:marBottom w:val="0"/>
      <w:divBdr>
        <w:top w:val="none" w:sz="0" w:space="0" w:color="auto"/>
        <w:left w:val="none" w:sz="0" w:space="0" w:color="auto"/>
        <w:bottom w:val="none" w:sz="0" w:space="0" w:color="auto"/>
        <w:right w:val="none" w:sz="0" w:space="0" w:color="auto"/>
      </w:divBdr>
      <w:divsChild>
        <w:div w:id="1471022572">
          <w:marLeft w:val="0"/>
          <w:marRight w:val="0"/>
          <w:marTop w:val="0"/>
          <w:marBottom w:val="0"/>
          <w:divBdr>
            <w:top w:val="none" w:sz="0" w:space="0" w:color="auto"/>
            <w:left w:val="none" w:sz="0" w:space="0" w:color="auto"/>
            <w:bottom w:val="none" w:sz="0" w:space="0" w:color="auto"/>
            <w:right w:val="none" w:sz="0" w:space="0" w:color="auto"/>
          </w:divBdr>
        </w:div>
      </w:divsChild>
    </w:div>
    <w:div w:id="1056975067">
      <w:bodyDiv w:val="1"/>
      <w:marLeft w:val="0"/>
      <w:marRight w:val="0"/>
      <w:marTop w:val="0"/>
      <w:marBottom w:val="0"/>
      <w:divBdr>
        <w:top w:val="none" w:sz="0" w:space="0" w:color="auto"/>
        <w:left w:val="none" w:sz="0" w:space="0" w:color="auto"/>
        <w:bottom w:val="none" w:sz="0" w:space="0" w:color="auto"/>
        <w:right w:val="none" w:sz="0" w:space="0" w:color="auto"/>
      </w:divBdr>
    </w:div>
    <w:div w:id="1143304838">
      <w:bodyDiv w:val="1"/>
      <w:marLeft w:val="0"/>
      <w:marRight w:val="0"/>
      <w:marTop w:val="0"/>
      <w:marBottom w:val="0"/>
      <w:divBdr>
        <w:top w:val="none" w:sz="0" w:space="0" w:color="auto"/>
        <w:left w:val="none" w:sz="0" w:space="0" w:color="auto"/>
        <w:bottom w:val="none" w:sz="0" w:space="0" w:color="auto"/>
        <w:right w:val="none" w:sz="0" w:space="0" w:color="auto"/>
      </w:divBdr>
    </w:div>
    <w:div w:id="1148136352">
      <w:bodyDiv w:val="1"/>
      <w:marLeft w:val="0"/>
      <w:marRight w:val="0"/>
      <w:marTop w:val="0"/>
      <w:marBottom w:val="0"/>
      <w:divBdr>
        <w:top w:val="none" w:sz="0" w:space="0" w:color="auto"/>
        <w:left w:val="none" w:sz="0" w:space="0" w:color="auto"/>
        <w:bottom w:val="none" w:sz="0" w:space="0" w:color="auto"/>
        <w:right w:val="none" w:sz="0" w:space="0" w:color="auto"/>
      </w:divBdr>
      <w:divsChild>
        <w:div w:id="1004934632">
          <w:marLeft w:val="547"/>
          <w:marRight w:val="0"/>
          <w:marTop w:val="200"/>
          <w:marBottom w:val="0"/>
          <w:divBdr>
            <w:top w:val="none" w:sz="0" w:space="0" w:color="auto"/>
            <w:left w:val="none" w:sz="0" w:space="0" w:color="auto"/>
            <w:bottom w:val="none" w:sz="0" w:space="0" w:color="auto"/>
            <w:right w:val="none" w:sz="0" w:space="0" w:color="auto"/>
          </w:divBdr>
        </w:div>
        <w:div w:id="2130396048">
          <w:marLeft w:val="547"/>
          <w:marRight w:val="0"/>
          <w:marTop w:val="200"/>
          <w:marBottom w:val="0"/>
          <w:divBdr>
            <w:top w:val="none" w:sz="0" w:space="0" w:color="auto"/>
            <w:left w:val="none" w:sz="0" w:space="0" w:color="auto"/>
            <w:bottom w:val="none" w:sz="0" w:space="0" w:color="auto"/>
            <w:right w:val="none" w:sz="0" w:space="0" w:color="auto"/>
          </w:divBdr>
        </w:div>
        <w:div w:id="1532261768">
          <w:marLeft w:val="547"/>
          <w:marRight w:val="0"/>
          <w:marTop w:val="200"/>
          <w:marBottom w:val="0"/>
          <w:divBdr>
            <w:top w:val="none" w:sz="0" w:space="0" w:color="auto"/>
            <w:left w:val="none" w:sz="0" w:space="0" w:color="auto"/>
            <w:bottom w:val="none" w:sz="0" w:space="0" w:color="auto"/>
            <w:right w:val="none" w:sz="0" w:space="0" w:color="auto"/>
          </w:divBdr>
        </w:div>
        <w:div w:id="289359534">
          <w:marLeft w:val="547"/>
          <w:marRight w:val="0"/>
          <w:marTop w:val="200"/>
          <w:marBottom w:val="0"/>
          <w:divBdr>
            <w:top w:val="none" w:sz="0" w:space="0" w:color="auto"/>
            <w:left w:val="none" w:sz="0" w:space="0" w:color="auto"/>
            <w:bottom w:val="none" w:sz="0" w:space="0" w:color="auto"/>
            <w:right w:val="none" w:sz="0" w:space="0" w:color="auto"/>
          </w:divBdr>
        </w:div>
        <w:div w:id="975066503">
          <w:marLeft w:val="547"/>
          <w:marRight w:val="0"/>
          <w:marTop w:val="200"/>
          <w:marBottom w:val="0"/>
          <w:divBdr>
            <w:top w:val="none" w:sz="0" w:space="0" w:color="auto"/>
            <w:left w:val="none" w:sz="0" w:space="0" w:color="auto"/>
            <w:bottom w:val="none" w:sz="0" w:space="0" w:color="auto"/>
            <w:right w:val="none" w:sz="0" w:space="0" w:color="auto"/>
          </w:divBdr>
        </w:div>
      </w:divsChild>
    </w:div>
    <w:div w:id="1175068513">
      <w:bodyDiv w:val="1"/>
      <w:marLeft w:val="0"/>
      <w:marRight w:val="0"/>
      <w:marTop w:val="0"/>
      <w:marBottom w:val="0"/>
      <w:divBdr>
        <w:top w:val="none" w:sz="0" w:space="0" w:color="auto"/>
        <w:left w:val="none" w:sz="0" w:space="0" w:color="auto"/>
        <w:bottom w:val="none" w:sz="0" w:space="0" w:color="auto"/>
        <w:right w:val="none" w:sz="0" w:space="0" w:color="auto"/>
      </w:divBdr>
    </w:div>
    <w:div w:id="1208492862">
      <w:bodyDiv w:val="1"/>
      <w:marLeft w:val="0"/>
      <w:marRight w:val="0"/>
      <w:marTop w:val="0"/>
      <w:marBottom w:val="0"/>
      <w:divBdr>
        <w:top w:val="none" w:sz="0" w:space="0" w:color="auto"/>
        <w:left w:val="none" w:sz="0" w:space="0" w:color="auto"/>
        <w:bottom w:val="none" w:sz="0" w:space="0" w:color="auto"/>
        <w:right w:val="none" w:sz="0" w:space="0" w:color="auto"/>
      </w:divBdr>
    </w:div>
    <w:div w:id="1318532329">
      <w:bodyDiv w:val="1"/>
      <w:marLeft w:val="0"/>
      <w:marRight w:val="0"/>
      <w:marTop w:val="0"/>
      <w:marBottom w:val="0"/>
      <w:divBdr>
        <w:top w:val="none" w:sz="0" w:space="0" w:color="auto"/>
        <w:left w:val="none" w:sz="0" w:space="0" w:color="auto"/>
        <w:bottom w:val="none" w:sz="0" w:space="0" w:color="auto"/>
        <w:right w:val="none" w:sz="0" w:space="0" w:color="auto"/>
      </w:divBdr>
    </w:div>
    <w:div w:id="1319307180">
      <w:bodyDiv w:val="1"/>
      <w:marLeft w:val="0"/>
      <w:marRight w:val="0"/>
      <w:marTop w:val="0"/>
      <w:marBottom w:val="0"/>
      <w:divBdr>
        <w:top w:val="none" w:sz="0" w:space="0" w:color="auto"/>
        <w:left w:val="none" w:sz="0" w:space="0" w:color="auto"/>
        <w:bottom w:val="none" w:sz="0" w:space="0" w:color="auto"/>
        <w:right w:val="none" w:sz="0" w:space="0" w:color="auto"/>
      </w:divBdr>
    </w:div>
    <w:div w:id="1329866401">
      <w:bodyDiv w:val="1"/>
      <w:marLeft w:val="0"/>
      <w:marRight w:val="0"/>
      <w:marTop w:val="0"/>
      <w:marBottom w:val="0"/>
      <w:divBdr>
        <w:top w:val="none" w:sz="0" w:space="0" w:color="auto"/>
        <w:left w:val="none" w:sz="0" w:space="0" w:color="auto"/>
        <w:bottom w:val="none" w:sz="0" w:space="0" w:color="auto"/>
        <w:right w:val="none" w:sz="0" w:space="0" w:color="auto"/>
      </w:divBdr>
      <w:divsChild>
        <w:div w:id="23600546">
          <w:marLeft w:val="547"/>
          <w:marRight w:val="0"/>
          <w:marTop w:val="200"/>
          <w:marBottom w:val="0"/>
          <w:divBdr>
            <w:top w:val="none" w:sz="0" w:space="0" w:color="auto"/>
            <w:left w:val="none" w:sz="0" w:space="0" w:color="auto"/>
            <w:bottom w:val="none" w:sz="0" w:space="0" w:color="auto"/>
            <w:right w:val="none" w:sz="0" w:space="0" w:color="auto"/>
          </w:divBdr>
        </w:div>
        <w:div w:id="1890069493">
          <w:marLeft w:val="547"/>
          <w:marRight w:val="0"/>
          <w:marTop w:val="200"/>
          <w:marBottom w:val="0"/>
          <w:divBdr>
            <w:top w:val="none" w:sz="0" w:space="0" w:color="auto"/>
            <w:left w:val="none" w:sz="0" w:space="0" w:color="auto"/>
            <w:bottom w:val="none" w:sz="0" w:space="0" w:color="auto"/>
            <w:right w:val="none" w:sz="0" w:space="0" w:color="auto"/>
          </w:divBdr>
        </w:div>
        <w:div w:id="87315400">
          <w:marLeft w:val="547"/>
          <w:marRight w:val="0"/>
          <w:marTop w:val="200"/>
          <w:marBottom w:val="0"/>
          <w:divBdr>
            <w:top w:val="none" w:sz="0" w:space="0" w:color="auto"/>
            <w:left w:val="none" w:sz="0" w:space="0" w:color="auto"/>
            <w:bottom w:val="none" w:sz="0" w:space="0" w:color="auto"/>
            <w:right w:val="none" w:sz="0" w:space="0" w:color="auto"/>
          </w:divBdr>
        </w:div>
      </w:divsChild>
    </w:div>
    <w:div w:id="1340087499">
      <w:bodyDiv w:val="1"/>
      <w:marLeft w:val="0"/>
      <w:marRight w:val="0"/>
      <w:marTop w:val="0"/>
      <w:marBottom w:val="0"/>
      <w:divBdr>
        <w:top w:val="none" w:sz="0" w:space="0" w:color="auto"/>
        <w:left w:val="none" w:sz="0" w:space="0" w:color="auto"/>
        <w:bottom w:val="none" w:sz="0" w:space="0" w:color="auto"/>
        <w:right w:val="none" w:sz="0" w:space="0" w:color="auto"/>
      </w:divBdr>
    </w:div>
    <w:div w:id="1390154570">
      <w:bodyDiv w:val="1"/>
      <w:marLeft w:val="0"/>
      <w:marRight w:val="0"/>
      <w:marTop w:val="0"/>
      <w:marBottom w:val="0"/>
      <w:divBdr>
        <w:top w:val="none" w:sz="0" w:space="0" w:color="auto"/>
        <w:left w:val="none" w:sz="0" w:space="0" w:color="auto"/>
        <w:bottom w:val="none" w:sz="0" w:space="0" w:color="auto"/>
        <w:right w:val="none" w:sz="0" w:space="0" w:color="auto"/>
      </w:divBdr>
      <w:divsChild>
        <w:div w:id="1857887392">
          <w:marLeft w:val="547"/>
          <w:marRight w:val="0"/>
          <w:marTop w:val="200"/>
          <w:marBottom w:val="0"/>
          <w:divBdr>
            <w:top w:val="none" w:sz="0" w:space="0" w:color="auto"/>
            <w:left w:val="none" w:sz="0" w:space="0" w:color="auto"/>
            <w:bottom w:val="none" w:sz="0" w:space="0" w:color="auto"/>
            <w:right w:val="none" w:sz="0" w:space="0" w:color="auto"/>
          </w:divBdr>
        </w:div>
        <w:div w:id="1607150510">
          <w:marLeft w:val="547"/>
          <w:marRight w:val="0"/>
          <w:marTop w:val="200"/>
          <w:marBottom w:val="0"/>
          <w:divBdr>
            <w:top w:val="none" w:sz="0" w:space="0" w:color="auto"/>
            <w:left w:val="none" w:sz="0" w:space="0" w:color="auto"/>
            <w:bottom w:val="none" w:sz="0" w:space="0" w:color="auto"/>
            <w:right w:val="none" w:sz="0" w:space="0" w:color="auto"/>
          </w:divBdr>
        </w:div>
        <w:div w:id="1358118692">
          <w:marLeft w:val="547"/>
          <w:marRight w:val="0"/>
          <w:marTop w:val="200"/>
          <w:marBottom w:val="0"/>
          <w:divBdr>
            <w:top w:val="none" w:sz="0" w:space="0" w:color="auto"/>
            <w:left w:val="none" w:sz="0" w:space="0" w:color="auto"/>
            <w:bottom w:val="none" w:sz="0" w:space="0" w:color="auto"/>
            <w:right w:val="none" w:sz="0" w:space="0" w:color="auto"/>
          </w:divBdr>
        </w:div>
      </w:divsChild>
    </w:div>
    <w:div w:id="1468281839">
      <w:bodyDiv w:val="1"/>
      <w:marLeft w:val="0"/>
      <w:marRight w:val="0"/>
      <w:marTop w:val="0"/>
      <w:marBottom w:val="0"/>
      <w:divBdr>
        <w:top w:val="none" w:sz="0" w:space="0" w:color="auto"/>
        <w:left w:val="none" w:sz="0" w:space="0" w:color="auto"/>
        <w:bottom w:val="none" w:sz="0" w:space="0" w:color="auto"/>
        <w:right w:val="none" w:sz="0" w:space="0" w:color="auto"/>
      </w:divBdr>
    </w:div>
    <w:div w:id="1468353220">
      <w:bodyDiv w:val="1"/>
      <w:marLeft w:val="0"/>
      <w:marRight w:val="0"/>
      <w:marTop w:val="0"/>
      <w:marBottom w:val="0"/>
      <w:divBdr>
        <w:top w:val="none" w:sz="0" w:space="0" w:color="auto"/>
        <w:left w:val="none" w:sz="0" w:space="0" w:color="auto"/>
        <w:bottom w:val="none" w:sz="0" w:space="0" w:color="auto"/>
        <w:right w:val="none" w:sz="0" w:space="0" w:color="auto"/>
      </w:divBdr>
    </w:div>
    <w:div w:id="1510411082">
      <w:bodyDiv w:val="1"/>
      <w:marLeft w:val="0"/>
      <w:marRight w:val="0"/>
      <w:marTop w:val="0"/>
      <w:marBottom w:val="0"/>
      <w:divBdr>
        <w:top w:val="none" w:sz="0" w:space="0" w:color="auto"/>
        <w:left w:val="none" w:sz="0" w:space="0" w:color="auto"/>
        <w:bottom w:val="none" w:sz="0" w:space="0" w:color="auto"/>
        <w:right w:val="none" w:sz="0" w:space="0" w:color="auto"/>
      </w:divBdr>
      <w:divsChild>
        <w:div w:id="366294714">
          <w:marLeft w:val="547"/>
          <w:marRight w:val="0"/>
          <w:marTop w:val="200"/>
          <w:marBottom w:val="0"/>
          <w:divBdr>
            <w:top w:val="none" w:sz="0" w:space="0" w:color="auto"/>
            <w:left w:val="none" w:sz="0" w:space="0" w:color="auto"/>
            <w:bottom w:val="none" w:sz="0" w:space="0" w:color="auto"/>
            <w:right w:val="none" w:sz="0" w:space="0" w:color="auto"/>
          </w:divBdr>
        </w:div>
        <w:div w:id="1909923584">
          <w:marLeft w:val="547"/>
          <w:marRight w:val="0"/>
          <w:marTop w:val="200"/>
          <w:marBottom w:val="0"/>
          <w:divBdr>
            <w:top w:val="none" w:sz="0" w:space="0" w:color="auto"/>
            <w:left w:val="none" w:sz="0" w:space="0" w:color="auto"/>
            <w:bottom w:val="none" w:sz="0" w:space="0" w:color="auto"/>
            <w:right w:val="none" w:sz="0" w:space="0" w:color="auto"/>
          </w:divBdr>
        </w:div>
        <w:div w:id="2129395948">
          <w:marLeft w:val="547"/>
          <w:marRight w:val="0"/>
          <w:marTop w:val="200"/>
          <w:marBottom w:val="0"/>
          <w:divBdr>
            <w:top w:val="none" w:sz="0" w:space="0" w:color="auto"/>
            <w:left w:val="none" w:sz="0" w:space="0" w:color="auto"/>
            <w:bottom w:val="none" w:sz="0" w:space="0" w:color="auto"/>
            <w:right w:val="none" w:sz="0" w:space="0" w:color="auto"/>
          </w:divBdr>
        </w:div>
      </w:divsChild>
    </w:div>
    <w:div w:id="1537736955">
      <w:bodyDiv w:val="1"/>
      <w:marLeft w:val="0"/>
      <w:marRight w:val="0"/>
      <w:marTop w:val="0"/>
      <w:marBottom w:val="0"/>
      <w:divBdr>
        <w:top w:val="none" w:sz="0" w:space="0" w:color="auto"/>
        <w:left w:val="none" w:sz="0" w:space="0" w:color="auto"/>
        <w:bottom w:val="none" w:sz="0" w:space="0" w:color="auto"/>
        <w:right w:val="none" w:sz="0" w:space="0" w:color="auto"/>
      </w:divBdr>
      <w:divsChild>
        <w:div w:id="2042779628">
          <w:marLeft w:val="0"/>
          <w:marRight w:val="0"/>
          <w:marTop w:val="0"/>
          <w:marBottom w:val="0"/>
          <w:divBdr>
            <w:top w:val="none" w:sz="0" w:space="0" w:color="auto"/>
            <w:left w:val="none" w:sz="0" w:space="0" w:color="auto"/>
            <w:bottom w:val="none" w:sz="0" w:space="0" w:color="auto"/>
            <w:right w:val="none" w:sz="0" w:space="0" w:color="auto"/>
          </w:divBdr>
        </w:div>
        <w:div w:id="567688208">
          <w:marLeft w:val="0"/>
          <w:marRight w:val="0"/>
          <w:marTop w:val="0"/>
          <w:marBottom w:val="0"/>
          <w:divBdr>
            <w:top w:val="none" w:sz="0" w:space="0" w:color="auto"/>
            <w:left w:val="none" w:sz="0" w:space="0" w:color="auto"/>
            <w:bottom w:val="none" w:sz="0" w:space="0" w:color="auto"/>
            <w:right w:val="none" w:sz="0" w:space="0" w:color="auto"/>
          </w:divBdr>
        </w:div>
      </w:divsChild>
    </w:div>
    <w:div w:id="1540557117">
      <w:bodyDiv w:val="1"/>
      <w:marLeft w:val="0"/>
      <w:marRight w:val="0"/>
      <w:marTop w:val="0"/>
      <w:marBottom w:val="0"/>
      <w:divBdr>
        <w:top w:val="none" w:sz="0" w:space="0" w:color="auto"/>
        <w:left w:val="none" w:sz="0" w:space="0" w:color="auto"/>
        <w:bottom w:val="none" w:sz="0" w:space="0" w:color="auto"/>
        <w:right w:val="none" w:sz="0" w:space="0" w:color="auto"/>
      </w:divBdr>
    </w:div>
    <w:div w:id="1566336201">
      <w:bodyDiv w:val="1"/>
      <w:marLeft w:val="0"/>
      <w:marRight w:val="0"/>
      <w:marTop w:val="0"/>
      <w:marBottom w:val="0"/>
      <w:divBdr>
        <w:top w:val="none" w:sz="0" w:space="0" w:color="auto"/>
        <w:left w:val="none" w:sz="0" w:space="0" w:color="auto"/>
        <w:bottom w:val="none" w:sz="0" w:space="0" w:color="auto"/>
        <w:right w:val="none" w:sz="0" w:space="0" w:color="auto"/>
      </w:divBdr>
      <w:divsChild>
        <w:div w:id="1086416309">
          <w:marLeft w:val="547"/>
          <w:marRight w:val="0"/>
          <w:marTop w:val="200"/>
          <w:marBottom w:val="0"/>
          <w:divBdr>
            <w:top w:val="none" w:sz="0" w:space="0" w:color="auto"/>
            <w:left w:val="none" w:sz="0" w:space="0" w:color="auto"/>
            <w:bottom w:val="none" w:sz="0" w:space="0" w:color="auto"/>
            <w:right w:val="none" w:sz="0" w:space="0" w:color="auto"/>
          </w:divBdr>
        </w:div>
        <w:div w:id="1480923336">
          <w:marLeft w:val="547"/>
          <w:marRight w:val="0"/>
          <w:marTop w:val="200"/>
          <w:marBottom w:val="0"/>
          <w:divBdr>
            <w:top w:val="none" w:sz="0" w:space="0" w:color="auto"/>
            <w:left w:val="none" w:sz="0" w:space="0" w:color="auto"/>
            <w:bottom w:val="none" w:sz="0" w:space="0" w:color="auto"/>
            <w:right w:val="none" w:sz="0" w:space="0" w:color="auto"/>
          </w:divBdr>
        </w:div>
        <w:div w:id="2116634350">
          <w:marLeft w:val="547"/>
          <w:marRight w:val="0"/>
          <w:marTop w:val="200"/>
          <w:marBottom w:val="0"/>
          <w:divBdr>
            <w:top w:val="none" w:sz="0" w:space="0" w:color="auto"/>
            <w:left w:val="none" w:sz="0" w:space="0" w:color="auto"/>
            <w:bottom w:val="none" w:sz="0" w:space="0" w:color="auto"/>
            <w:right w:val="none" w:sz="0" w:space="0" w:color="auto"/>
          </w:divBdr>
        </w:div>
        <w:div w:id="1550654975">
          <w:marLeft w:val="547"/>
          <w:marRight w:val="0"/>
          <w:marTop w:val="200"/>
          <w:marBottom w:val="0"/>
          <w:divBdr>
            <w:top w:val="none" w:sz="0" w:space="0" w:color="auto"/>
            <w:left w:val="none" w:sz="0" w:space="0" w:color="auto"/>
            <w:bottom w:val="none" w:sz="0" w:space="0" w:color="auto"/>
            <w:right w:val="none" w:sz="0" w:space="0" w:color="auto"/>
          </w:divBdr>
        </w:div>
      </w:divsChild>
    </w:div>
    <w:div w:id="1579318788">
      <w:bodyDiv w:val="1"/>
      <w:marLeft w:val="0"/>
      <w:marRight w:val="0"/>
      <w:marTop w:val="0"/>
      <w:marBottom w:val="0"/>
      <w:divBdr>
        <w:top w:val="none" w:sz="0" w:space="0" w:color="auto"/>
        <w:left w:val="none" w:sz="0" w:space="0" w:color="auto"/>
        <w:bottom w:val="none" w:sz="0" w:space="0" w:color="auto"/>
        <w:right w:val="none" w:sz="0" w:space="0" w:color="auto"/>
      </w:divBdr>
    </w:div>
    <w:div w:id="1586574591">
      <w:bodyDiv w:val="1"/>
      <w:marLeft w:val="0"/>
      <w:marRight w:val="0"/>
      <w:marTop w:val="0"/>
      <w:marBottom w:val="0"/>
      <w:divBdr>
        <w:top w:val="none" w:sz="0" w:space="0" w:color="auto"/>
        <w:left w:val="none" w:sz="0" w:space="0" w:color="auto"/>
        <w:bottom w:val="none" w:sz="0" w:space="0" w:color="auto"/>
        <w:right w:val="none" w:sz="0" w:space="0" w:color="auto"/>
      </w:divBdr>
      <w:divsChild>
        <w:div w:id="1292400499">
          <w:marLeft w:val="547"/>
          <w:marRight w:val="0"/>
          <w:marTop w:val="200"/>
          <w:marBottom w:val="0"/>
          <w:divBdr>
            <w:top w:val="none" w:sz="0" w:space="0" w:color="auto"/>
            <w:left w:val="none" w:sz="0" w:space="0" w:color="auto"/>
            <w:bottom w:val="none" w:sz="0" w:space="0" w:color="auto"/>
            <w:right w:val="none" w:sz="0" w:space="0" w:color="auto"/>
          </w:divBdr>
        </w:div>
        <w:div w:id="1551988896">
          <w:marLeft w:val="547"/>
          <w:marRight w:val="0"/>
          <w:marTop w:val="200"/>
          <w:marBottom w:val="0"/>
          <w:divBdr>
            <w:top w:val="none" w:sz="0" w:space="0" w:color="auto"/>
            <w:left w:val="none" w:sz="0" w:space="0" w:color="auto"/>
            <w:bottom w:val="none" w:sz="0" w:space="0" w:color="auto"/>
            <w:right w:val="none" w:sz="0" w:space="0" w:color="auto"/>
          </w:divBdr>
        </w:div>
        <w:div w:id="1989432896">
          <w:marLeft w:val="547"/>
          <w:marRight w:val="0"/>
          <w:marTop w:val="200"/>
          <w:marBottom w:val="0"/>
          <w:divBdr>
            <w:top w:val="none" w:sz="0" w:space="0" w:color="auto"/>
            <w:left w:val="none" w:sz="0" w:space="0" w:color="auto"/>
            <w:bottom w:val="none" w:sz="0" w:space="0" w:color="auto"/>
            <w:right w:val="none" w:sz="0" w:space="0" w:color="auto"/>
          </w:divBdr>
        </w:div>
        <w:div w:id="1058094550">
          <w:marLeft w:val="547"/>
          <w:marRight w:val="0"/>
          <w:marTop w:val="200"/>
          <w:marBottom w:val="0"/>
          <w:divBdr>
            <w:top w:val="none" w:sz="0" w:space="0" w:color="auto"/>
            <w:left w:val="none" w:sz="0" w:space="0" w:color="auto"/>
            <w:bottom w:val="none" w:sz="0" w:space="0" w:color="auto"/>
            <w:right w:val="none" w:sz="0" w:space="0" w:color="auto"/>
          </w:divBdr>
        </w:div>
      </w:divsChild>
    </w:div>
    <w:div w:id="1697730220">
      <w:bodyDiv w:val="1"/>
      <w:marLeft w:val="0"/>
      <w:marRight w:val="0"/>
      <w:marTop w:val="0"/>
      <w:marBottom w:val="0"/>
      <w:divBdr>
        <w:top w:val="none" w:sz="0" w:space="0" w:color="auto"/>
        <w:left w:val="none" w:sz="0" w:space="0" w:color="auto"/>
        <w:bottom w:val="none" w:sz="0" w:space="0" w:color="auto"/>
        <w:right w:val="none" w:sz="0" w:space="0" w:color="auto"/>
      </w:divBdr>
    </w:div>
    <w:div w:id="1833570373">
      <w:bodyDiv w:val="1"/>
      <w:marLeft w:val="0"/>
      <w:marRight w:val="0"/>
      <w:marTop w:val="0"/>
      <w:marBottom w:val="0"/>
      <w:divBdr>
        <w:top w:val="none" w:sz="0" w:space="0" w:color="auto"/>
        <w:left w:val="none" w:sz="0" w:space="0" w:color="auto"/>
        <w:bottom w:val="none" w:sz="0" w:space="0" w:color="auto"/>
        <w:right w:val="none" w:sz="0" w:space="0" w:color="auto"/>
      </w:divBdr>
      <w:divsChild>
        <w:div w:id="730924762">
          <w:marLeft w:val="547"/>
          <w:marRight w:val="0"/>
          <w:marTop w:val="200"/>
          <w:marBottom w:val="0"/>
          <w:divBdr>
            <w:top w:val="none" w:sz="0" w:space="0" w:color="auto"/>
            <w:left w:val="none" w:sz="0" w:space="0" w:color="auto"/>
            <w:bottom w:val="none" w:sz="0" w:space="0" w:color="auto"/>
            <w:right w:val="none" w:sz="0" w:space="0" w:color="auto"/>
          </w:divBdr>
        </w:div>
      </w:divsChild>
    </w:div>
    <w:div w:id="1902862550">
      <w:bodyDiv w:val="1"/>
      <w:marLeft w:val="0"/>
      <w:marRight w:val="0"/>
      <w:marTop w:val="0"/>
      <w:marBottom w:val="0"/>
      <w:divBdr>
        <w:top w:val="none" w:sz="0" w:space="0" w:color="auto"/>
        <w:left w:val="none" w:sz="0" w:space="0" w:color="auto"/>
        <w:bottom w:val="none" w:sz="0" w:space="0" w:color="auto"/>
        <w:right w:val="none" w:sz="0" w:space="0" w:color="auto"/>
      </w:divBdr>
      <w:divsChild>
        <w:div w:id="1086852256">
          <w:marLeft w:val="0"/>
          <w:marRight w:val="0"/>
          <w:marTop w:val="0"/>
          <w:marBottom w:val="0"/>
          <w:divBdr>
            <w:top w:val="none" w:sz="0" w:space="0" w:color="auto"/>
            <w:left w:val="none" w:sz="0" w:space="0" w:color="auto"/>
            <w:bottom w:val="none" w:sz="0" w:space="0" w:color="auto"/>
            <w:right w:val="none" w:sz="0" w:space="0" w:color="auto"/>
          </w:divBdr>
        </w:div>
      </w:divsChild>
    </w:div>
    <w:div w:id="2049376589">
      <w:bodyDiv w:val="1"/>
      <w:marLeft w:val="0"/>
      <w:marRight w:val="0"/>
      <w:marTop w:val="0"/>
      <w:marBottom w:val="0"/>
      <w:divBdr>
        <w:top w:val="none" w:sz="0" w:space="0" w:color="auto"/>
        <w:left w:val="none" w:sz="0" w:space="0" w:color="auto"/>
        <w:bottom w:val="none" w:sz="0" w:space="0" w:color="auto"/>
        <w:right w:val="none" w:sz="0" w:space="0" w:color="auto"/>
      </w:divBdr>
      <w:divsChild>
        <w:div w:id="911693261">
          <w:marLeft w:val="547"/>
          <w:marRight w:val="0"/>
          <w:marTop w:val="200"/>
          <w:marBottom w:val="0"/>
          <w:divBdr>
            <w:top w:val="none" w:sz="0" w:space="0" w:color="auto"/>
            <w:left w:val="none" w:sz="0" w:space="0" w:color="auto"/>
            <w:bottom w:val="none" w:sz="0" w:space="0" w:color="auto"/>
            <w:right w:val="none" w:sz="0" w:space="0" w:color="auto"/>
          </w:divBdr>
        </w:div>
        <w:div w:id="627127110">
          <w:marLeft w:val="547"/>
          <w:marRight w:val="0"/>
          <w:marTop w:val="200"/>
          <w:marBottom w:val="0"/>
          <w:divBdr>
            <w:top w:val="none" w:sz="0" w:space="0" w:color="auto"/>
            <w:left w:val="none" w:sz="0" w:space="0" w:color="auto"/>
            <w:bottom w:val="none" w:sz="0" w:space="0" w:color="auto"/>
            <w:right w:val="none" w:sz="0" w:space="0" w:color="auto"/>
          </w:divBdr>
        </w:div>
        <w:div w:id="1432241862">
          <w:marLeft w:val="547"/>
          <w:marRight w:val="0"/>
          <w:marTop w:val="200"/>
          <w:marBottom w:val="0"/>
          <w:divBdr>
            <w:top w:val="none" w:sz="0" w:space="0" w:color="auto"/>
            <w:left w:val="none" w:sz="0" w:space="0" w:color="auto"/>
            <w:bottom w:val="none" w:sz="0" w:space="0" w:color="auto"/>
            <w:right w:val="none" w:sz="0" w:space="0" w:color="auto"/>
          </w:divBdr>
        </w:div>
        <w:div w:id="966859269">
          <w:marLeft w:val="547"/>
          <w:marRight w:val="0"/>
          <w:marTop w:val="200"/>
          <w:marBottom w:val="0"/>
          <w:divBdr>
            <w:top w:val="none" w:sz="0" w:space="0" w:color="auto"/>
            <w:left w:val="none" w:sz="0" w:space="0" w:color="auto"/>
            <w:bottom w:val="none" w:sz="0" w:space="0" w:color="auto"/>
            <w:right w:val="none" w:sz="0" w:space="0" w:color="auto"/>
          </w:divBdr>
        </w:div>
        <w:div w:id="1192185351">
          <w:marLeft w:val="547"/>
          <w:marRight w:val="0"/>
          <w:marTop w:val="200"/>
          <w:marBottom w:val="0"/>
          <w:divBdr>
            <w:top w:val="none" w:sz="0" w:space="0" w:color="auto"/>
            <w:left w:val="none" w:sz="0" w:space="0" w:color="auto"/>
            <w:bottom w:val="none" w:sz="0" w:space="0" w:color="auto"/>
            <w:right w:val="none" w:sz="0" w:space="0" w:color="auto"/>
          </w:divBdr>
        </w:div>
      </w:divsChild>
    </w:div>
    <w:div w:id="2059087709">
      <w:bodyDiv w:val="1"/>
      <w:marLeft w:val="0"/>
      <w:marRight w:val="0"/>
      <w:marTop w:val="0"/>
      <w:marBottom w:val="0"/>
      <w:divBdr>
        <w:top w:val="none" w:sz="0" w:space="0" w:color="auto"/>
        <w:left w:val="none" w:sz="0" w:space="0" w:color="auto"/>
        <w:bottom w:val="none" w:sz="0" w:space="0" w:color="auto"/>
        <w:right w:val="none" w:sz="0" w:space="0" w:color="auto"/>
      </w:divBdr>
    </w:div>
    <w:div w:id="2063482998">
      <w:bodyDiv w:val="1"/>
      <w:marLeft w:val="0"/>
      <w:marRight w:val="0"/>
      <w:marTop w:val="0"/>
      <w:marBottom w:val="0"/>
      <w:divBdr>
        <w:top w:val="none" w:sz="0" w:space="0" w:color="auto"/>
        <w:left w:val="none" w:sz="0" w:space="0" w:color="auto"/>
        <w:bottom w:val="none" w:sz="0" w:space="0" w:color="auto"/>
        <w:right w:val="none" w:sz="0" w:space="0" w:color="auto"/>
      </w:divBdr>
      <w:divsChild>
        <w:div w:id="1908029668">
          <w:marLeft w:val="0"/>
          <w:marRight w:val="0"/>
          <w:marTop w:val="0"/>
          <w:marBottom w:val="0"/>
          <w:divBdr>
            <w:top w:val="none" w:sz="0" w:space="0" w:color="auto"/>
            <w:left w:val="none" w:sz="0" w:space="0" w:color="auto"/>
            <w:bottom w:val="none" w:sz="0" w:space="0" w:color="auto"/>
            <w:right w:val="none" w:sz="0" w:space="0" w:color="auto"/>
          </w:divBdr>
        </w:div>
      </w:divsChild>
    </w:div>
    <w:div w:id="2068412731">
      <w:bodyDiv w:val="1"/>
      <w:marLeft w:val="0"/>
      <w:marRight w:val="0"/>
      <w:marTop w:val="0"/>
      <w:marBottom w:val="0"/>
      <w:divBdr>
        <w:top w:val="none" w:sz="0" w:space="0" w:color="auto"/>
        <w:left w:val="none" w:sz="0" w:space="0" w:color="auto"/>
        <w:bottom w:val="none" w:sz="0" w:space="0" w:color="auto"/>
        <w:right w:val="none" w:sz="0" w:space="0" w:color="auto"/>
      </w:divBdr>
    </w:div>
    <w:div w:id="2084404541">
      <w:bodyDiv w:val="1"/>
      <w:marLeft w:val="0"/>
      <w:marRight w:val="0"/>
      <w:marTop w:val="0"/>
      <w:marBottom w:val="0"/>
      <w:divBdr>
        <w:top w:val="none" w:sz="0" w:space="0" w:color="auto"/>
        <w:left w:val="none" w:sz="0" w:space="0" w:color="auto"/>
        <w:bottom w:val="none" w:sz="0" w:space="0" w:color="auto"/>
        <w:right w:val="none" w:sz="0" w:space="0" w:color="auto"/>
      </w:divBdr>
      <w:divsChild>
        <w:div w:id="2138185714">
          <w:marLeft w:val="0"/>
          <w:marRight w:val="0"/>
          <w:marTop w:val="0"/>
          <w:marBottom w:val="0"/>
          <w:divBdr>
            <w:top w:val="none" w:sz="0" w:space="0" w:color="auto"/>
            <w:left w:val="none" w:sz="0" w:space="0" w:color="auto"/>
            <w:bottom w:val="none" w:sz="0" w:space="0" w:color="auto"/>
            <w:right w:val="none" w:sz="0" w:space="0" w:color="auto"/>
          </w:divBdr>
        </w:div>
        <w:div w:id="700981001">
          <w:marLeft w:val="0"/>
          <w:marRight w:val="0"/>
          <w:marTop w:val="0"/>
          <w:marBottom w:val="0"/>
          <w:divBdr>
            <w:top w:val="none" w:sz="0" w:space="0" w:color="auto"/>
            <w:left w:val="none" w:sz="0" w:space="0" w:color="auto"/>
            <w:bottom w:val="none" w:sz="0" w:space="0" w:color="auto"/>
            <w:right w:val="none" w:sz="0" w:space="0" w:color="auto"/>
          </w:divBdr>
        </w:div>
        <w:div w:id="7168991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eindia.com/market-data/bonds-traded-in-capital-market"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vestopedia.com/terms/c/corporatebond.asp"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985</TotalTime>
  <Pages>26</Pages>
  <Words>10649</Words>
  <Characters>60704</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8</cp:revision>
  <dcterms:created xsi:type="dcterms:W3CDTF">2024-07-07T02:13:00Z</dcterms:created>
  <dcterms:modified xsi:type="dcterms:W3CDTF">2024-07-17T06:08:00Z</dcterms:modified>
</cp:coreProperties>
</file>