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767AB2" w14:textId="01E16DD1" w:rsidR="00FF341A" w:rsidRPr="00FF341A" w:rsidRDefault="00FF341A" w:rsidP="00FF341A">
      <w:pPr>
        <w:autoSpaceDE w:val="0"/>
        <w:autoSpaceDN w:val="0"/>
        <w:adjustRightInd w:val="0"/>
        <w:spacing w:after="0" w:line="240" w:lineRule="auto"/>
        <w:jc w:val="center"/>
        <w:rPr>
          <w:rFonts w:ascii="ArialMT" w:hAnsi="ArialMT" w:cs="ArialMT"/>
          <w:b/>
          <w:sz w:val="24"/>
          <w:szCs w:val="24"/>
          <w:u w:val="single"/>
        </w:rPr>
      </w:pPr>
      <w:bookmarkStart w:id="0" w:name="_GoBack"/>
      <w:bookmarkEnd w:id="0"/>
      <w:r w:rsidRPr="00FF341A">
        <w:rPr>
          <w:rFonts w:ascii="ArialMT" w:hAnsi="ArialMT" w:cs="ArialMT"/>
          <w:b/>
          <w:sz w:val="24"/>
          <w:szCs w:val="24"/>
          <w:u w:val="single"/>
        </w:rPr>
        <w:t>TYBIM Sem VI – Venture Capital</w:t>
      </w:r>
    </w:p>
    <w:p w14:paraId="403EAEBC" w14:textId="77777777" w:rsidR="00FF341A" w:rsidRPr="00FF341A" w:rsidRDefault="00FF341A" w:rsidP="00FF341A">
      <w:pPr>
        <w:autoSpaceDE w:val="0"/>
        <w:autoSpaceDN w:val="0"/>
        <w:adjustRightInd w:val="0"/>
        <w:spacing w:after="0" w:line="240" w:lineRule="auto"/>
        <w:jc w:val="center"/>
        <w:rPr>
          <w:rFonts w:ascii="ArialMT" w:hAnsi="ArialMT" w:cs="ArialMT"/>
          <w:b/>
          <w:sz w:val="24"/>
          <w:szCs w:val="24"/>
          <w:u w:val="single"/>
        </w:rPr>
      </w:pPr>
    </w:p>
    <w:p w14:paraId="3F8A881E" w14:textId="3AB6A8CC" w:rsidR="00FD5EEC" w:rsidRPr="00FF341A" w:rsidRDefault="00FF341A" w:rsidP="00FF341A">
      <w:pPr>
        <w:autoSpaceDE w:val="0"/>
        <w:autoSpaceDN w:val="0"/>
        <w:adjustRightInd w:val="0"/>
        <w:spacing w:after="0" w:line="240" w:lineRule="auto"/>
        <w:jc w:val="center"/>
        <w:rPr>
          <w:rFonts w:ascii="ArialMT" w:hAnsi="ArialMT" w:cs="ArialMT"/>
          <w:b/>
          <w:sz w:val="24"/>
          <w:szCs w:val="24"/>
          <w:u w:val="single"/>
        </w:rPr>
      </w:pPr>
      <w:r w:rsidRPr="00FF341A">
        <w:rPr>
          <w:rFonts w:ascii="ArialMT" w:hAnsi="ArialMT" w:cs="ArialMT"/>
          <w:b/>
          <w:sz w:val="24"/>
          <w:szCs w:val="24"/>
          <w:u w:val="single"/>
        </w:rPr>
        <w:t xml:space="preserve">Unit </w:t>
      </w:r>
      <w:proofErr w:type="gramStart"/>
      <w:r w:rsidRPr="00FF341A">
        <w:rPr>
          <w:rFonts w:ascii="ArialMT" w:hAnsi="ArialMT" w:cs="ArialMT"/>
          <w:b/>
          <w:sz w:val="24"/>
          <w:szCs w:val="24"/>
          <w:u w:val="single"/>
        </w:rPr>
        <w:t>4 :</w:t>
      </w:r>
      <w:proofErr w:type="gramEnd"/>
      <w:r w:rsidRPr="00FF341A">
        <w:rPr>
          <w:rFonts w:ascii="ArialMT" w:hAnsi="ArialMT" w:cs="ArialMT"/>
          <w:b/>
          <w:sz w:val="24"/>
          <w:szCs w:val="24"/>
          <w:u w:val="single"/>
        </w:rPr>
        <w:t xml:space="preserve"> Private Equity Exit</w:t>
      </w:r>
    </w:p>
    <w:p w14:paraId="6BF1EA4E" w14:textId="77777777" w:rsidR="00FF341A" w:rsidRPr="00F1010A" w:rsidRDefault="00FF341A" w:rsidP="00A40531">
      <w:pPr>
        <w:autoSpaceDE w:val="0"/>
        <w:autoSpaceDN w:val="0"/>
        <w:adjustRightInd w:val="0"/>
        <w:spacing w:after="0" w:line="240" w:lineRule="auto"/>
        <w:rPr>
          <w:rFonts w:ascii="ArialMT" w:hAnsi="ArialMT" w:cs="ArialMT"/>
          <w:sz w:val="24"/>
          <w:szCs w:val="24"/>
        </w:rPr>
      </w:pPr>
    </w:p>
    <w:p w14:paraId="51E1340D" w14:textId="77777777" w:rsidR="00F1010A" w:rsidRPr="00F1010A" w:rsidRDefault="00F1010A" w:rsidP="00F1010A">
      <w:pPr>
        <w:shd w:val="clear" w:color="auto" w:fill="FFFFFF"/>
        <w:spacing w:after="0" w:line="0" w:lineRule="auto"/>
        <w:rPr>
          <w:rFonts w:ascii="ArialMT" w:hAnsi="ArialMT" w:cs="ArialMT"/>
          <w:sz w:val="24"/>
          <w:szCs w:val="24"/>
        </w:rPr>
      </w:pPr>
      <w:r w:rsidRPr="00F1010A">
        <w:rPr>
          <w:rFonts w:ascii="ArialMT" w:hAnsi="ArialMT" w:cs="ArialMT"/>
          <w:sz w:val="24"/>
          <w:szCs w:val="24"/>
        </w:rPr>
        <w:t>Factors Affecting the Exit Route Choice</w:t>
      </w:r>
    </w:p>
    <w:p w14:paraId="4796C577" w14:textId="77777777" w:rsidR="00F1010A" w:rsidRPr="00F1010A" w:rsidRDefault="00F1010A" w:rsidP="00F1010A">
      <w:pPr>
        <w:shd w:val="clear" w:color="auto" w:fill="FFFFFF"/>
        <w:spacing w:after="0" w:line="240" w:lineRule="auto"/>
        <w:rPr>
          <w:rFonts w:ascii="ArialMT" w:hAnsi="ArialMT" w:cs="ArialMT"/>
          <w:sz w:val="24"/>
          <w:szCs w:val="24"/>
        </w:rPr>
      </w:pPr>
      <w:r w:rsidRPr="00F1010A">
        <w:rPr>
          <w:rFonts w:ascii="ArialMT" w:hAnsi="ArialMT" w:cs="ArialMT"/>
          <w:sz w:val="24"/>
          <w:szCs w:val="24"/>
        </w:rPr>
        <w:t xml:space="preserve">In deciding which exit strategy to pursue, investors should consider several variables: </w:t>
      </w:r>
    </w:p>
    <w:p w14:paraId="46DA1537" w14:textId="77777777" w:rsidR="00F1010A" w:rsidRDefault="00F1010A" w:rsidP="00F1010A">
      <w:pPr>
        <w:shd w:val="clear" w:color="auto" w:fill="FFFFFF"/>
        <w:spacing w:after="0" w:line="240" w:lineRule="auto"/>
        <w:rPr>
          <w:rFonts w:ascii="ArialMT" w:hAnsi="ArialMT" w:cs="ArialMT"/>
          <w:sz w:val="24"/>
          <w:szCs w:val="24"/>
        </w:rPr>
      </w:pPr>
      <w:r w:rsidRPr="00F1010A">
        <w:rPr>
          <w:rFonts w:ascii="ArialMT" w:hAnsi="ArialMT" w:cs="ArialMT"/>
          <w:sz w:val="24"/>
          <w:szCs w:val="24"/>
        </w:rPr>
        <w:t>(1) the general economic perspective,</w:t>
      </w:r>
    </w:p>
    <w:p w14:paraId="7817C094" w14:textId="1DF5CF5B" w:rsidR="00F1010A" w:rsidRDefault="00F1010A" w:rsidP="00F1010A">
      <w:pPr>
        <w:shd w:val="clear" w:color="auto" w:fill="FFFFFF"/>
        <w:spacing w:after="0" w:line="240" w:lineRule="auto"/>
        <w:rPr>
          <w:rFonts w:ascii="ArialMT" w:hAnsi="ArialMT" w:cs="ArialMT"/>
          <w:sz w:val="24"/>
          <w:szCs w:val="24"/>
        </w:rPr>
      </w:pPr>
      <w:r w:rsidRPr="00F1010A">
        <w:rPr>
          <w:rFonts w:ascii="ArialMT" w:hAnsi="ArialMT" w:cs="ArialMT"/>
          <w:sz w:val="24"/>
          <w:szCs w:val="24"/>
        </w:rPr>
        <w:t>(2) relative performance of PE investments versus other asset classes,</w:t>
      </w:r>
    </w:p>
    <w:p w14:paraId="418066B0" w14:textId="75F0478C" w:rsidR="00F1010A" w:rsidRDefault="00F1010A" w:rsidP="00F1010A">
      <w:pPr>
        <w:shd w:val="clear" w:color="auto" w:fill="FFFFFF"/>
        <w:spacing w:after="0" w:line="240" w:lineRule="auto"/>
        <w:rPr>
          <w:rFonts w:ascii="ArialMT" w:hAnsi="ArialMT" w:cs="ArialMT"/>
          <w:sz w:val="24"/>
          <w:szCs w:val="24"/>
        </w:rPr>
      </w:pPr>
      <w:r w:rsidRPr="00F1010A">
        <w:rPr>
          <w:rFonts w:ascii="ArialMT" w:hAnsi="ArialMT" w:cs="ArialMT"/>
          <w:sz w:val="24"/>
          <w:szCs w:val="24"/>
        </w:rPr>
        <w:t xml:space="preserve">(3) bullish or bearish stock markets, </w:t>
      </w:r>
    </w:p>
    <w:p w14:paraId="05ACE56F" w14:textId="4243E3A1" w:rsidR="00F1010A" w:rsidRPr="00F1010A" w:rsidRDefault="00F1010A" w:rsidP="00F1010A">
      <w:pPr>
        <w:shd w:val="clear" w:color="auto" w:fill="FFFFFF"/>
        <w:spacing w:after="0" w:line="240" w:lineRule="auto"/>
        <w:rPr>
          <w:rFonts w:ascii="ArialMT" w:hAnsi="ArialMT" w:cs="ArialMT"/>
          <w:sz w:val="24"/>
          <w:szCs w:val="24"/>
        </w:rPr>
      </w:pPr>
      <w:r w:rsidRPr="00F1010A">
        <w:rPr>
          <w:rFonts w:ascii="ArialMT" w:hAnsi="ArialMT" w:cs="ArialMT"/>
          <w:sz w:val="24"/>
          <w:szCs w:val="24"/>
        </w:rPr>
        <w:t xml:space="preserve">(4) commitments of PE </w:t>
      </w:r>
    </w:p>
    <w:p w14:paraId="54EA96FC" w14:textId="77777777" w:rsidR="00F1010A" w:rsidRPr="00F1010A" w:rsidRDefault="00F1010A" w:rsidP="00F1010A">
      <w:pPr>
        <w:shd w:val="clear" w:color="auto" w:fill="FFFFFF"/>
        <w:spacing w:after="0" w:line="0" w:lineRule="auto"/>
        <w:rPr>
          <w:rFonts w:ascii="ff3" w:eastAsia="Times New Roman" w:hAnsi="ff3" w:cs="Times New Roman"/>
          <w:color w:val="000000"/>
          <w:sz w:val="36"/>
          <w:szCs w:val="36"/>
          <w:lang w:eastAsia="en-IN"/>
        </w:rPr>
      </w:pPr>
      <w:r w:rsidRPr="00F1010A">
        <w:rPr>
          <w:rFonts w:ascii="ff3" w:eastAsia="Times New Roman" w:hAnsi="ff3" w:cs="Times New Roman"/>
          <w:color w:val="000000"/>
          <w:sz w:val="36"/>
          <w:szCs w:val="36"/>
          <w:lang w:eastAsia="en-IN"/>
        </w:rPr>
        <w:t xml:space="preserve">13-Baker-Chap13.indd   </w:t>
      </w:r>
    </w:p>
    <w:p w14:paraId="7231D1BA" w14:textId="77777777" w:rsidR="00F1010A" w:rsidRDefault="00F1010A" w:rsidP="00A40531">
      <w:pPr>
        <w:autoSpaceDE w:val="0"/>
        <w:autoSpaceDN w:val="0"/>
        <w:adjustRightInd w:val="0"/>
        <w:spacing w:after="0" w:line="240" w:lineRule="auto"/>
        <w:rPr>
          <w:rFonts w:ascii="Arial-BoldMT" w:hAnsi="Arial-BoldMT" w:cs="Arial-BoldMT"/>
          <w:b/>
          <w:bCs/>
          <w:sz w:val="24"/>
          <w:szCs w:val="24"/>
        </w:rPr>
      </w:pPr>
    </w:p>
    <w:p w14:paraId="3A42723E" w14:textId="5F4B98CD" w:rsidR="00A40531" w:rsidRDefault="00A40531" w:rsidP="00A40531">
      <w:pPr>
        <w:autoSpaceDE w:val="0"/>
        <w:autoSpaceDN w:val="0"/>
        <w:adjustRightInd w:val="0"/>
        <w:spacing w:after="0" w:line="240" w:lineRule="auto"/>
        <w:rPr>
          <w:rFonts w:ascii="Arial-BoldMT" w:hAnsi="Arial-BoldMT" w:cs="Arial-BoldMT"/>
          <w:b/>
          <w:bCs/>
          <w:sz w:val="24"/>
          <w:szCs w:val="24"/>
        </w:rPr>
      </w:pPr>
      <w:r>
        <w:rPr>
          <w:rFonts w:ascii="Arial-BoldMT" w:hAnsi="Arial-BoldMT" w:cs="Arial-BoldMT"/>
          <w:b/>
          <w:bCs/>
          <w:sz w:val="24"/>
          <w:szCs w:val="24"/>
        </w:rPr>
        <w:t>Initial Public Offering</w:t>
      </w:r>
    </w:p>
    <w:p w14:paraId="15CB4345" w14:textId="77777777" w:rsidR="00A40531" w:rsidRDefault="00A40531" w:rsidP="00A40531">
      <w:pPr>
        <w:autoSpaceDE w:val="0"/>
        <w:autoSpaceDN w:val="0"/>
        <w:adjustRightInd w:val="0"/>
        <w:spacing w:after="0" w:line="240" w:lineRule="auto"/>
        <w:rPr>
          <w:rFonts w:ascii="ArialMT" w:hAnsi="ArialMT" w:cs="ArialMT"/>
          <w:sz w:val="24"/>
          <w:szCs w:val="24"/>
        </w:rPr>
      </w:pPr>
    </w:p>
    <w:p w14:paraId="22258513" w14:textId="34114686"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It is the first time that the shares of the company are sold to the public. First, those</w:t>
      </w:r>
    </w:p>
    <w:p w14:paraId="146EE77F"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shares are sold on the primary market. Usually, most of the shares are sold to</w:t>
      </w:r>
    </w:p>
    <w:p w14:paraId="7DB3B273"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institutional investors but there are some cases such as the IPO of Facebook,</w:t>
      </w:r>
    </w:p>
    <w:p w14:paraId="71D1D245"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Inc. that most of the shares were sold to retail investors because of their values.</w:t>
      </w:r>
    </w:p>
    <w:p w14:paraId="197CA1DF"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Then, the company starts trading on the secondary market. The price is</w:t>
      </w:r>
    </w:p>
    <w:p w14:paraId="5D5AA4C7"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established by supply and demand of the shares by the public, unlike the primary</w:t>
      </w:r>
    </w:p>
    <w:p w14:paraId="79704C0B"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market, in which the price of the IPO is established by the company with the help</w:t>
      </w:r>
    </w:p>
    <w:p w14:paraId="64223575"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of the Investment Bank as a financial advisor and underwriter.</w:t>
      </w:r>
    </w:p>
    <w:p w14:paraId="0F69C643"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IPO exit is completely determined by the situation of the market. When there</w:t>
      </w:r>
    </w:p>
    <w:p w14:paraId="67E7BC5F"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 xml:space="preserve">is a bull market it is observed that the number of IPOs increase and even </w:t>
      </w:r>
      <w:proofErr w:type="gramStart"/>
      <w:r>
        <w:rPr>
          <w:rFonts w:ascii="ArialMT" w:hAnsi="ArialMT" w:cs="ArialMT"/>
          <w:sz w:val="24"/>
          <w:szCs w:val="24"/>
        </w:rPr>
        <w:t>more</w:t>
      </w:r>
      <w:proofErr w:type="gramEnd"/>
    </w:p>
    <w:p w14:paraId="40328604"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important, in terms of value. On the other hand, if the market is bearish the</w:t>
      </w:r>
    </w:p>
    <w:p w14:paraId="6D4C2ACE"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 xml:space="preserve">number of the IPOs will be lower than when is bullish in terms of number of </w:t>
      </w:r>
      <w:proofErr w:type="gramStart"/>
      <w:r>
        <w:rPr>
          <w:rFonts w:ascii="ArialMT" w:hAnsi="ArialMT" w:cs="ArialMT"/>
          <w:sz w:val="24"/>
          <w:szCs w:val="24"/>
        </w:rPr>
        <w:t>total</w:t>
      </w:r>
      <w:proofErr w:type="gramEnd"/>
    </w:p>
    <w:p w14:paraId="1E131B7F"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of IPOs completed and value. Another indicator of a strong market of IPOs is the</w:t>
      </w:r>
    </w:p>
    <w:p w14:paraId="5E1297F3"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volatility. A low volatility in European indices will benefit the market for IPOs.</w:t>
      </w:r>
    </w:p>
    <w:p w14:paraId="348381A4" w14:textId="77777777" w:rsidR="00A40531" w:rsidRDefault="00A40531" w:rsidP="00A40531">
      <w:pPr>
        <w:autoSpaceDE w:val="0"/>
        <w:autoSpaceDN w:val="0"/>
        <w:adjustRightInd w:val="0"/>
        <w:spacing w:after="0" w:line="240" w:lineRule="auto"/>
        <w:rPr>
          <w:rFonts w:ascii="Arial-BoldMT" w:hAnsi="Arial-BoldMT" w:cs="Arial-BoldMT"/>
          <w:b/>
          <w:bCs/>
          <w:sz w:val="24"/>
          <w:szCs w:val="24"/>
        </w:rPr>
      </w:pPr>
    </w:p>
    <w:p w14:paraId="6728C0B7" w14:textId="39C97F6E" w:rsidR="00A40531" w:rsidRDefault="00A40531" w:rsidP="00A40531">
      <w:pPr>
        <w:autoSpaceDE w:val="0"/>
        <w:autoSpaceDN w:val="0"/>
        <w:adjustRightInd w:val="0"/>
        <w:spacing w:after="0" w:line="240" w:lineRule="auto"/>
        <w:rPr>
          <w:rFonts w:ascii="Arial-BoldMT" w:hAnsi="Arial-BoldMT" w:cs="Arial-BoldMT"/>
          <w:b/>
          <w:bCs/>
          <w:sz w:val="24"/>
          <w:szCs w:val="24"/>
        </w:rPr>
      </w:pPr>
      <w:r>
        <w:rPr>
          <w:rFonts w:ascii="Arial-BoldMT" w:hAnsi="Arial-BoldMT" w:cs="Arial-BoldMT"/>
          <w:b/>
          <w:bCs/>
          <w:sz w:val="24"/>
          <w:szCs w:val="24"/>
        </w:rPr>
        <w:t>Advantages of an IPO exit</w:t>
      </w:r>
    </w:p>
    <w:p w14:paraId="0B57FD26" w14:textId="77777777" w:rsidR="00A40531" w:rsidRDefault="00A40531" w:rsidP="00A40531">
      <w:pPr>
        <w:autoSpaceDE w:val="0"/>
        <w:autoSpaceDN w:val="0"/>
        <w:adjustRightInd w:val="0"/>
        <w:spacing w:after="0" w:line="240" w:lineRule="auto"/>
        <w:rPr>
          <w:rFonts w:ascii="SymbolMT" w:hAnsi="SymbolMT" w:cs="SymbolMT"/>
          <w:sz w:val="24"/>
          <w:szCs w:val="24"/>
        </w:rPr>
      </w:pPr>
    </w:p>
    <w:p w14:paraId="217615C2" w14:textId="31E07792" w:rsidR="00A40531" w:rsidRDefault="00A40531" w:rsidP="00A40531">
      <w:pPr>
        <w:autoSpaceDE w:val="0"/>
        <w:autoSpaceDN w:val="0"/>
        <w:adjustRightInd w:val="0"/>
        <w:spacing w:after="0" w:line="240" w:lineRule="auto"/>
        <w:rPr>
          <w:rFonts w:ascii="ArialMT" w:hAnsi="ArialMT" w:cs="ArialMT"/>
          <w:sz w:val="24"/>
          <w:szCs w:val="24"/>
        </w:rPr>
      </w:pPr>
      <w:r>
        <w:rPr>
          <w:rFonts w:ascii="SymbolMT" w:hAnsi="SymbolMT" w:cs="SymbolMT"/>
          <w:sz w:val="24"/>
          <w:szCs w:val="24"/>
        </w:rPr>
        <w:t xml:space="preserve">• </w:t>
      </w:r>
      <w:r>
        <w:rPr>
          <w:rFonts w:ascii="Arial-ItalicMT" w:hAnsi="Arial-ItalicMT" w:cs="Arial-ItalicMT"/>
          <w:i/>
          <w:iCs/>
          <w:sz w:val="24"/>
          <w:szCs w:val="24"/>
        </w:rPr>
        <w:t xml:space="preserve">Higher Valuation: </w:t>
      </w:r>
      <w:r>
        <w:rPr>
          <w:rFonts w:ascii="ArialMT" w:hAnsi="ArialMT" w:cs="ArialMT"/>
          <w:sz w:val="24"/>
          <w:szCs w:val="24"/>
        </w:rPr>
        <w:t>IPOs exit valuation is empirically higher than other types of</w:t>
      </w:r>
    </w:p>
    <w:p w14:paraId="4A2D6ED2"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exit. Although IPOs exit does not give rise to a full exit, the remain stake of</w:t>
      </w:r>
    </w:p>
    <w:p w14:paraId="4C0142BC"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PE firm in the portfolio company could be sold after the IPO. It is an</w:t>
      </w:r>
    </w:p>
    <w:p w14:paraId="6769F4F8"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advantage because once the company is public is easy to complete a</w:t>
      </w:r>
    </w:p>
    <w:p w14:paraId="66E7C3A7"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valuation of the company because it practically depends on the market. It is</w:t>
      </w:r>
    </w:p>
    <w:p w14:paraId="6449DDA5" w14:textId="77777777" w:rsidR="00A40531" w:rsidRDefault="00A40531" w:rsidP="00A40531">
      <w:pPr>
        <w:autoSpaceDE w:val="0"/>
        <w:autoSpaceDN w:val="0"/>
        <w:adjustRightInd w:val="0"/>
        <w:spacing w:after="0" w:line="240" w:lineRule="auto"/>
        <w:rPr>
          <w:rFonts w:ascii="ArialMT" w:hAnsi="ArialMT" w:cs="ArialMT"/>
          <w:sz w:val="24"/>
          <w:szCs w:val="24"/>
        </w:rPr>
      </w:pPr>
      <w:proofErr w:type="gramStart"/>
      <w:r>
        <w:rPr>
          <w:rFonts w:ascii="ArialMT" w:hAnsi="ArialMT" w:cs="ArialMT"/>
          <w:sz w:val="24"/>
          <w:szCs w:val="24"/>
        </w:rPr>
        <w:t>also</w:t>
      </w:r>
      <w:proofErr w:type="gramEnd"/>
      <w:r>
        <w:rPr>
          <w:rFonts w:ascii="ArialMT" w:hAnsi="ArialMT" w:cs="ArialMT"/>
          <w:sz w:val="24"/>
          <w:szCs w:val="24"/>
        </w:rPr>
        <w:t xml:space="preserve"> a lower cost than the valuation of a private company.</w:t>
      </w:r>
    </w:p>
    <w:p w14:paraId="4EF8D6ED" w14:textId="77777777" w:rsidR="00A40531" w:rsidRDefault="00A40531" w:rsidP="00A40531">
      <w:pPr>
        <w:autoSpaceDE w:val="0"/>
        <w:autoSpaceDN w:val="0"/>
        <w:adjustRightInd w:val="0"/>
        <w:spacing w:after="0" w:line="240" w:lineRule="auto"/>
        <w:rPr>
          <w:rFonts w:ascii="SymbolMT" w:hAnsi="SymbolMT" w:cs="SymbolMT"/>
          <w:sz w:val="24"/>
          <w:szCs w:val="24"/>
        </w:rPr>
      </w:pPr>
    </w:p>
    <w:p w14:paraId="00C8E613" w14:textId="49975DDE" w:rsidR="00A40531" w:rsidRDefault="00A40531" w:rsidP="00A40531">
      <w:pPr>
        <w:autoSpaceDE w:val="0"/>
        <w:autoSpaceDN w:val="0"/>
        <w:adjustRightInd w:val="0"/>
        <w:spacing w:after="0" w:line="240" w:lineRule="auto"/>
        <w:rPr>
          <w:rFonts w:ascii="ArialMT" w:hAnsi="ArialMT" w:cs="ArialMT"/>
          <w:sz w:val="24"/>
          <w:szCs w:val="24"/>
        </w:rPr>
      </w:pPr>
      <w:r>
        <w:rPr>
          <w:rFonts w:ascii="SymbolMT" w:hAnsi="SymbolMT" w:cs="SymbolMT"/>
          <w:sz w:val="24"/>
          <w:szCs w:val="24"/>
        </w:rPr>
        <w:t xml:space="preserve">• </w:t>
      </w:r>
      <w:r>
        <w:rPr>
          <w:rFonts w:ascii="Arial-ItalicMT" w:hAnsi="Arial-ItalicMT" w:cs="Arial-ItalicMT"/>
          <w:i/>
          <w:iCs/>
          <w:sz w:val="24"/>
          <w:szCs w:val="24"/>
        </w:rPr>
        <w:t xml:space="preserve">Increased liquidity: </w:t>
      </w:r>
      <w:r>
        <w:rPr>
          <w:rFonts w:ascii="ArialMT" w:hAnsi="ArialMT" w:cs="ArialMT"/>
          <w:sz w:val="24"/>
          <w:szCs w:val="24"/>
        </w:rPr>
        <w:t>Because IPOs exit are partial exits because it is not</w:t>
      </w:r>
    </w:p>
    <w:p w14:paraId="362F264B"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possible to sell the full company, IPOs are more liquid than other partial exits.</w:t>
      </w:r>
    </w:p>
    <w:p w14:paraId="49DCD859"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It is easy for the private equity firm to sell the remain shares after the IPO</w:t>
      </w:r>
    </w:p>
    <w:p w14:paraId="3864B01D"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because there is a market for those securities.</w:t>
      </w:r>
    </w:p>
    <w:p w14:paraId="0EA32D2F" w14:textId="77777777" w:rsidR="00A40531" w:rsidRDefault="00A40531" w:rsidP="00A40531">
      <w:pPr>
        <w:autoSpaceDE w:val="0"/>
        <w:autoSpaceDN w:val="0"/>
        <w:adjustRightInd w:val="0"/>
        <w:spacing w:after="0" w:line="240" w:lineRule="auto"/>
        <w:rPr>
          <w:rFonts w:ascii="SymbolMT" w:hAnsi="SymbolMT" w:cs="SymbolMT"/>
          <w:sz w:val="24"/>
          <w:szCs w:val="24"/>
        </w:rPr>
      </w:pPr>
    </w:p>
    <w:p w14:paraId="09C523F4" w14:textId="3B5A34AA" w:rsidR="00A40531" w:rsidRDefault="00A40531" w:rsidP="00A40531">
      <w:pPr>
        <w:autoSpaceDE w:val="0"/>
        <w:autoSpaceDN w:val="0"/>
        <w:adjustRightInd w:val="0"/>
        <w:spacing w:after="0" w:line="240" w:lineRule="auto"/>
        <w:rPr>
          <w:rFonts w:ascii="ArialMT" w:hAnsi="ArialMT" w:cs="ArialMT"/>
          <w:sz w:val="24"/>
          <w:szCs w:val="24"/>
        </w:rPr>
      </w:pPr>
      <w:r>
        <w:rPr>
          <w:rFonts w:ascii="SymbolMT" w:hAnsi="SymbolMT" w:cs="SymbolMT"/>
          <w:sz w:val="24"/>
          <w:szCs w:val="24"/>
        </w:rPr>
        <w:t xml:space="preserve">• </w:t>
      </w:r>
      <w:r>
        <w:rPr>
          <w:rFonts w:ascii="Arial-ItalicMT" w:hAnsi="Arial-ItalicMT" w:cs="Arial-ItalicMT"/>
          <w:i/>
          <w:iCs/>
          <w:sz w:val="24"/>
          <w:szCs w:val="24"/>
        </w:rPr>
        <w:t xml:space="preserve">Management Support: </w:t>
      </w:r>
      <w:r>
        <w:rPr>
          <w:rFonts w:ascii="ArialMT" w:hAnsi="ArialMT" w:cs="ArialMT"/>
          <w:sz w:val="24"/>
          <w:szCs w:val="24"/>
        </w:rPr>
        <w:t>Is very important to have the support of the</w:t>
      </w:r>
    </w:p>
    <w:p w14:paraId="6B00EBD4"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management team during the IPO. In this type of exit is more likely to have</w:t>
      </w:r>
    </w:p>
    <w:p w14:paraId="1D6419F5"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management support because the management team knows that there</w:t>
      </w:r>
    </w:p>
    <w:p w14:paraId="24447BE3"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is high probability of staying in the company after the IPO, unlike strategic</w:t>
      </w:r>
    </w:p>
    <w:p w14:paraId="7251698F"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acquisitions, which is common to replace the management team after the</w:t>
      </w:r>
    </w:p>
    <w:p w14:paraId="384B98B2"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acquisition.</w:t>
      </w:r>
    </w:p>
    <w:p w14:paraId="6BF2AA33" w14:textId="77777777" w:rsidR="00A40531" w:rsidRDefault="00A40531" w:rsidP="00A40531">
      <w:pPr>
        <w:autoSpaceDE w:val="0"/>
        <w:autoSpaceDN w:val="0"/>
        <w:adjustRightInd w:val="0"/>
        <w:spacing w:after="0" w:line="240" w:lineRule="auto"/>
        <w:rPr>
          <w:rFonts w:ascii="Arial-BoldMT" w:hAnsi="Arial-BoldMT" w:cs="Arial-BoldMT"/>
          <w:b/>
          <w:bCs/>
          <w:sz w:val="24"/>
          <w:szCs w:val="24"/>
        </w:rPr>
      </w:pPr>
    </w:p>
    <w:p w14:paraId="472DC758" w14:textId="05617D25" w:rsidR="00A40531" w:rsidRDefault="00A40531" w:rsidP="00A40531">
      <w:pPr>
        <w:autoSpaceDE w:val="0"/>
        <w:autoSpaceDN w:val="0"/>
        <w:adjustRightInd w:val="0"/>
        <w:spacing w:after="0" w:line="240" w:lineRule="auto"/>
        <w:rPr>
          <w:rFonts w:ascii="Arial-BoldMT" w:hAnsi="Arial-BoldMT" w:cs="Arial-BoldMT"/>
          <w:b/>
          <w:bCs/>
          <w:sz w:val="24"/>
          <w:szCs w:val="24"/>
        </w:rPr>
      </w:pPr>
      <w:r>
        <w:rPr>
          <w:rFonts w:ascii="Arial-BoldMT" w:hAnsi="Arial-BoldMT" w:cs="Arial-BoldMT"/>
          <w:b/>
          <w:bCs/>
          <w:sz w:val="24"/>
          <w:szCs w:val="24"/>
        </w:rPr>
        <w:t xml:space="preserve"> Disadvantages of an IPO exit</w:t>
      </w:r>
    </w:p>
    <w:p w14:paraId="3D3E5165" w14:textId="77777777" w:rsidR="00A40531" w:rsidRDefault="00A40531" w:rsidP="00A40531">
      <w:pPr>
        <w:autoSpaceDE w:val="0"/>
        <w:autoSpaceDN w:val="0"/>
        <w:adjustRightInd w:val="0"/>
        <w:spacing w:after="0" w:line="240" w:lineRule="auto"/>
        <w:rPr>
          <w:rFonts w:ascii="SymbolMT" w:hAnsi="SymbolMT" w:cs="SymbolMT"/>
          <w:sz w:val="24"/>
          <w:szCs w:val="24"/>
        </w:rPr>
      </w:pPr>
    </w:p>
    <w:p w14:paraId="42455D46" w14:textId="57784D67" w:rsidR="00A40531" w:rsidRDefault="00A40531" w:rsidP="00A40531">
      <w:pPr>
        <w:autoSpaceDE w:val="0"/>
        <w:autoSpaceDN w:val="0"/>
        <w:adjustRightInd w:val="0"/>
        <w:spacing w:after="0" w:line="240" w:lineRule="auto"/>
        <w:rPr>
          <w:rFonts w:ascii="ArialMT" w:hAnsi="ArialMT" w:cs="ArialMT"/>
          <w:sz w:val="24"/>
          <w:szCs w:val="24"/>
        </w:rPr>
      </w:pPr>
      <w:r>
        <w:rPr>
          <w:rFonts w:ascii="SymbolMT" w:hAnsi="SymbolMT" w:cs="SymbolMT"/>
          <w:sz w:val="24"/>
          <w:szCs w:val="24"/>
        </w:rPr>
        <w:t xml:space="preserve">• </w:t>
      </w:r>
      <w:r>
        <w:rPr>
          <w:rFonts w:ascii="Arial-ItalicMT" w:hAnsi="Arial-ItalicMT" w:cs="Arial-ItalicMT"/>
          <w:i/>
          <w:iCs/>
          <w:sz w:val="24"/>
          <w:szCs w:val="24"/>
        </w:rPr>
        <w:t xml:space="preserve">Lack of complete exit: </w:t>
      </w:r>
      <w:r>
        <w:rPr>
          <w:rFonts w:ascii="ArialMT" w:hAnsi="ArialMT" w:cs="ArialMT"/>
          <w:sz w:val="24"/>
          <w:szCs w:val="24"/>
        </w:rPr>
        <w:t>Unlike other exits, an IPO is a partial exit. Therefore, if</w:t>
      </w:r>
    </w:p>
    <w:p w14:paraId="7A182C41"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PE firm wants to sell the entire stake it will not be possible once. First, the</w:t>
      </w:r>
    </w:p>
    <w:p w14:paraId="0C66B40D"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PE firm will exit a part of the portfolio and then sell the remain shares in the</w:t>
      </w:r>
    </w:p>
    <w:p w14:paraId="5B1602B4"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secondary market. A concern for the PE firm is the reaction of the market. If</w:t>
      </w:r>
    </w:p>
    <w:p w14:paraId="7672A521"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market does not react positively after the IPO, the value of the shares will</w:t>
      </w:r>
    </w:p>
    <w:p w14:paraId="2735D8DA"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be lower than the exit and therefore the PE firm will get less funds of the exit.</w:t>
      </w:r>
    </w:p>
    <w:p w14:paraId="1F6EDA9C" w14:textId="77777777" w:rsidR="00A40531" w:rsidRDefault="00A40531" w:rsidP="00A40531">
      <w:pPr>
        <w:autoSpaceDE w:val="0"/>
        <w:autoSpaceDN w:val="0"/>
        <w:adjustRightInd w:val="0"/>
        <w:spacing w:after="0" w:line="240" w:lineRule="auto"/>
        <w:rPr>
          <w:rFonts w:ascii="SymbolMT" w:hAnsi="SymbolMT" w:cs="SymbolMT"/>
          <w:sz w:val="24"/>
          <w:szCs w:val="24"/>
        </w:rPr>
      </w:pPr>
    </w:p>
    <w:p w14:paraId="57CCF265" w14:textId="1AC55587" w:rsidR="00A40531" w:rsidRDefault="00A40531" w:rsidP="00A40531">
      <w:pPr>
        <w:autoSpaceDE w:val="0"/>
        <w:autoSpaceDN w:val="0"/>
        <w:adjustRightInd w:val="0"/>
        <w:spacing w:after="0" w:line="240" w:lineRule="auto"/>
        <w:rPr>
          <w:rFonts w:ascii="ArialMT" w:hAnsi="ArialMT" w:cs="ArialMT"/>
          <w:sz w:val="24"/>
          <w:szCs w:val="24"/>
        </w:rPr>
      </w:pPr>
      <w:r>
        <w:rPr>
          <w:rFonts w:ascii="SymbolMT" w:hAnsi="SymbolMT" w:cs="SymbolMT"/>
          <w:sz w:val="24"/>
          <w:szCs w:val="24"/>
        </w:rPr>
        <w:t xml:space="preserve">• </w:t>
      </w:r>
      <w:r>
        <w:rPr>
          <w:rFonts w:ascii="Arial-ItalicMT" w:hAnsi="Arial-ItalicMT" w:cs="Arial-ItalicMT"/>
          <w:i/>
          <w:iCs/>
          <w:sz w:val="24"/>
          <w:szCs w:val="24"/>
        </w:rPr>
        <w:t xml:space="preserve">Timing: </w:t>
      </w:r>
      <w:r>
        <w:rPr>
          <w:rFonts w:ascii="ArialMT" w:hAnsi="ArialMT" w:cs="ArialMT"/>
          <w:sz w:val="24"/>
          <w:szCs w:val="24"/>
        </w:rPr>
        <w:t>The entire IPO process is very slow compared to the other exits.</w:t>
      </w:r>
    </w:p>
    <w:p w14:paraId="6C7BE64E"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According to a report of Deloitte, the IPO process typically takes six months.</w:t>
      </w:r>
    </w:p>
    <w:p w14:paraId="683F2177" w14:textId="00FAE51F" w:rsidR="00A40531" w:rsidRDefault="00A40531" w:rsidP="00A40531">
      <w:pPr>
        <w:autoSpaceDE w:val="0"/>
        <w:autoSpaceDN w:val="0"/>
        <w:adjustRightInd w:val="0"/>
        <w:spacing w:after="0" w:line="240" w:lineRule="auto"/>
        <w:rPr>
          <w:rFonts w:ascii="TimesNewRomanPSMT" w:hAnsi="TimesNewRomanPSMT" w:cs="TimesNewRomanPSMT"/>
          <w:sz w:val="24"/>
          <w:szCs w:val="24"/>
        </w:rPr>
      </w:pPr>
    </w:p>
    <w:p w14:paraId="58F3B80F"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SymbolMT" w:hAnsi="SymbolMT" w:cs="SymbolMT"/>
          <w:sz w:val="24"/>
          <w:szCs w:val="24"/>
        </w:rPr>
        <w:t xml:space="preserve">• </w:t>
      </w:r>
      <w:r>
        <w:rPr>
          <w:rFonts w:ascii="Arial-ItalicMT" w:hAnsi="Arial-ItalicMT" w:cs="Arial-ItalicMT"/>
          <w:i/>
          <w:iCs/>
          <w:sz w:val="24"/>
          <w:szCs w:val="24"/>
        </w:rPr>
        <w:t xml:space="preserve">Costs: </w:t>
      </w:r>
      <w:r>
        <w:rPr>
          <w:rFonts w:ascii="ArialMT" w:hAnsi="ArialMT" w:cs="ArialMT"/>
          <w:sz w:val="24"/>
          <w:szCs w:val="24"/>
        </w:rPr>
        <w:t>IPOs are very expensive because there are many people involved.</w:t>
      </w:r>
    </w:p>
    <w:p w14:paraId="18E8EB85"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main costs of an IPO are the underwriter’s fees, legal fees, external</w:t>
      </w:r>
    </w:p>
    <w:p w14:paraId="3AA01F83"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auditor fees, financial advisor fees, document printing costs, registration</w:t>
      </w:r>
    </w:p>
    <w:p w14:paraId="2BE5C865"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costs and the fees paid to the exchange market for listing.</w:t>
      </w:r>
    </w:p>
    <w:p w14:paraId="5F699FC3" w14:textId="77777777" w:rsidR="00A40531" w:rsidRDefault="00A40531" w:rsidP="00A40531">
      <w:pPr>
        <w:autoSpaceDE w:val="0"/>
        <w:autoSpaceDN w:val="0"/>
        <w:adjustRightInd w:val="0"/>
        <w:spacing w:after="0" w:line="240" w:lineRule="auto"/>
        <w:rPr>
          <w:rFonts w:ascii="SymbolMT" w:hAnsi="SymbolMT" w:cs="SymbolMT"/>
          <w:sz w:val="24"/>
          <w:szCs w:val="24"/>
        </w:rPr>
      </w:pPr>
    </w:p>
    <w:p w14:paraId="2945A26F" w14:textId="34348F48" w:rsidR="00A40531" w:rsidRDefault="00A40531" w:rsidP="00A40531">
      <w:pPr>
        <w:autoSpaceDE w:val="0"/>
        <w:autoSpaceDN w:val="0"/>
        <w:adjustRightInd w:val="0"/>
        <w:spacing w:after="0" w:line="240" w:lineRule="auto"/>
        <w:rPr>
          <w:rFonts w:ascii="ArialMT" w:hAnsi="ArialMT" w:cs="ArialMT"/>
          <w:sz w:val="24"/>
          <w:szCs w:val="24"/>
        </w:rPr>
      </w:pPr>
      <w:r>
        <w:rPr>
          <w:rFonts w:ascii="SymbolMT" w:hAnsi="SymbolMT" w:cs="SymbolMT"/>
          <w:sz w:val="24"/>
          <w:szCs w:val="24"/>
        </w:rPr>
        <w:t xml:space="preserve">• </w:t>
      </w:r>
      <w:r>
        <w:rPr>
          <w:rFonts w:ascii="Arial-ItalicMT" w:hAnsi="Arial-ItalicMT" w:cs="Arial-ItalicMT"/>
          <w:i/>
          <w:iCs/>
          <w:sz w:val="24"/>
          <w:szCs w:val="24"/>
        </w:rPr>
        <w:t xml:space="preserve">Reporting Obligations: </w:t>
      </w:r>
      <w:r>
        <w:rPr>
          <w:rFonts w:ascii="ArialMT" w:hAnsi="ArialMT" w:cs="ArialMT"/>
          <w:sz w:val="24"/>
          <w:szCs w:val="24"/>
        </w:rPr>
        <w:t>Once a company is listed, it is mandatory to report</w:t>
      </w:r>
    </w:p>
    <w:p w14:paraId="6F754AB2"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documents periodically for the market regulators. This will be very costly for</w:t>
      </w:r>
    </w:p>
    <w:p w14:paraId="01BF8EB8"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company and a disadvantage because the company is completely</w:t>
      </w:r>
    </w:p>
    <w:p w14:paraId="2CD2ECA8" w14:textId="022A7DE6"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transparent for the competitors.</w:t>
      </w:r>
    </w:p>
    <w:p w14:paraId="332C995A" w14:textId="5103DF66" w:rsidR="009D72FD" w:rsidRDefault="009D72FD" w:rsidP="00A40531">
      <w:pPr>
        <w:autoSpaceDE w:val="0"/>
        <w:autoSpaceDN w:val="0"/>
        <w:adjustRightInd w:val="0"/>
        <w:spacing w:after="0" w:line="240" w:lineRule="auto"/>
        <w:rPr>
          <w:rFonts w:ascii="ArialMT" w:hAnsi="ArialMT" w:cs="ArialMT"/>
          <w:sz w:val="24"/>
          <w:szCs w:val="24"/>
        </w:rPr>
      </w:pPr>
    </w:p>
    <w:p w14:paraId="1C9E2466" w14:textId="2A83329D" w:rsidR="009D72FD" w:rsidRDefault="009D72FD"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_______________________________________________________________</w:t>
      </w:r>
    </w:p>
    <w:p w14:paraId="3F5EFF7C" w14:textId="77777777" w:rsidR="00A40531" w:rsidRDefault="00A40531" w:rsidP="00A40531">
      <w:pPr>
        <w:autoSpaceDE w:val="0"/>
        <w:autoSpaceDN w:val="0"/>
        <w:adjustRightInd w:val="0"/>
        <w:spacing w:after="0" w:line="240" w:lineRule="auto"/>
        <w:rPr>
          <w:rFonts w:ascii="Arial-BoldMT" w:hAnsi="Arial-BoldMT" w:cs="Arial-BoldMT"/>
          <w:b/>
          <w:bCs/>
          <w:sz w:val="24"/>
          <w:szCs w:val="24"/>
        </w:rPr>
      </w:pPr>
    </w:p>
    <w:p w14:paraId="32CDAB45" w14:textId="163C808D" w:rsidR="00A40531" w:rsidRDefault="00A40531" w:rsidP="00A40531">
      <w:pPr>
        <w:autoSpaceDE w:val="0"/>
        <w:autoSpaceDN w:val="0"/>
        <w:adjustRightInd w:val="0"/>
        <w:spacing w:after="0" w:line="240" w:lineRule="auto"/>
        <w:rPr>
          <w:rFonts w:ascii="Arial-BoldMT" w:hAnsi="Arial-BoldMT" w:cs="Arial-BoldMT"/>
          <w:b/>
          <w:bCs/>
          <w:sz w:val="24"/>
          <w:szCs w:val="24"/>
        </w:rPr>
      </w:pPr>
      <w:r>
        <w:rPr>
          <w:rFonts w:ascii="Arial-BoldMT" w:hAnsi="Arial-BoldMT" w:cs="Arial-BoldMT"/>
          <w:b/>
          <w:bCs/>
          <w:sz w:val="24"/>
          <w:szCs w:val="24"/>
        </w:rPr>
        <w:t>Secondary Buyout</w:t>
      </w:r>
    </w:p>
    <w:p w14:paraId="4196A7DE" w14:textId="77777777" w:rsidR="00A40531" w:rsidRDefault="00A40531" w:rsidP="00A40531">
      <w:pPr>
        <w:autoSpaceDE w:val="0"/>
        <w:autoSpaceDN w:val="0"/>
        <w:adjustRightInd w:val="0"/>
        <w:spacing w:after="0" w:line="240" w:lineRule="auto"/>
        <w:rPr>
          <w:rFonts w:ascii="ArialMT" w:hAnsi="ArialMT" w:cs="ArialMT"/>
          <w:sz w:val="24"/>
          <w:szCs w:val="24"/>
        </w:rPr>
      </w:pPr>
    </w:p>
    <w:p w14:paraId="1730566D" w14:textId="3A7BFC9B"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A secondary buyout involves another sponsor to buy the portfolio company. The</w:t>
      </w:r>
    </w:p>
    <w:p w14:paraId="34705DB4"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main advantages of this type of exit are the stake of the exit, the control and the</w:t>
      </w:r>
    </w:p>
    <w:p w14:paraId="55C78E84"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timing. First of all, the PE firm achieves a complete exit because they can sell the</w:t>
      </w:r>
    </w:p>
    <w:p w14:paraId="63B34CC5"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total number of shares of the company, so they complete the exit and end the</w:t>
      </w:r>
    </w:p>
    <w:p w14:paraId="70951434"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investment. The PE firm has the control of the sale process, unlike the IPO exit</w:t>
      </w:r>
    </w:p>
    <w:p w14:paraId="22350BA6"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because of the regulatory issues. Finally, the timing is an advantage because</w:t>
      </w:r>
    </w:p>
    <w:p w14:paraId="680CA36A"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once both parties agree with the terms, they can close the deal with a short</w:t>
      </w:r>
    </w:p>
    <w:p w14:paraId="47E5F79E"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regulatory process.</w:t>
      </w:r>
    </w:p>
    <w:p w14:paraId="2202F373" w14:textId="77777777" w:rsidR="00A40531" w:rsidRDefault="00A40531" w:rsidP="00A40531">
      <w:pPr>
        <w:autoSpaceDE w:val="0"/>
        <w:autoSpaceDN w:val="0"/>
        <w:adjustRightInd w:val="0"/>
        <w:spacing w:after="0" w:line="240" w:lineRule="auto"/>
        <w:rPr>
          <w:rFonts w:ascii="ArialMT" w:hAnsi="ArialMT" w:cs="ArialMT"/>
          <w:sz w:val="24"/>
          <w:szCs w:val="24"/>
        </w:rPr>
      </w:pPr>
    </w:p>
    <w:p w14:paraId="057C27EB" w14:textId="77777777" w:rsidR="009D72FD" w:rsidRDefault="009D72FD" w:rsidP="009D72FD">
      <w:pPr>
        <w:autoSpaceDE w:val="0"/>
        <w:autoSpaceDN w:val="0"/>
        <w:adjustRightInd w:val="0"/>
        <w:spacing w:after="0" w:line="240" w:lineRule="auto"/>
        <w:rPr>
          <w:rFonts w:ascii="ArialMT" w:hAnsi="ArialMT" w:cs="ArialMT"/>
          <w:sz w:val="24"/>
          <w:szCs w:val="24"/>
        </w:rPr>
      </w:pPr>
    </w:p>
    <w:p w14:paraId="7E590527" w14:textId="6AEED05D" w:rsidR="009D72FD" w:rsidRPr="009D72FD" w:rsidRDefault="009D72FD" w:rsidP="009D72FD">
      <w:pPr>
        <w:autoSpaceDE w:val="0"/>
        <w:autoSpaceDN w:val="0"/>
        <w:adjustRightInd w:val="0"/>
        <w:spacing w:after="0" w:line="240" w:lineRule="auto"/>
        <w:rPr>
          <w:rFonts w:ascii="ArialMT" w:hAnsi="ArialMT" w:cs="ArialMT"/>
          <w:b/>
          <w:sz w:val="24"/>
          <w:szCs w:val="24"/>
        </w:rPr>
      </w:pPr>
      <w:r w:rsidRPr="009D72FD">
        <w:rPr>
          <w:rFonts w:ascii="ArialMT" w:hAnsi="ArialMT" w:cs="ArialMT"/>
          <w:b/>
          <w:sz w:val="24"/>
          <w:szCs w:val="24"/>
        </w:rPr>
        <w:t>Advantages of exit through Secondary Buyout</w:t>
      </w:r>
    </w:p>
    <w:p w14:paraId="62380EAC" w14:textId="77777777" w:rsidR="009D72FD" w:rsidRDefault="009D72FD" w:rsidP="009D72FD">
      <w:pPr>
        <w:autoSpaceDE w:val="0"/>
        <w:autoSpaceDN w:val="0"/>
        <w:adjustRightInd w:val="0"/>
        <w:spacing w:after="0" w:line="240" w:lineRule="auto"/>
        <w:rPr>
          <w:rFonts w:ascii="ArialMT" w:hAnsi="ArialMT" w:cs="ArialMT"/>
          <w:sz w:val="24"/>
          <w:szCs w:val="24"/>
        </w:rPr>
      </w:pPr>
    </w:p>
    <w:p w14:paraId="26E738C4" w14:textId="3827997C" w:rsidR="009D72FD" w:rsidRDefault="009D72FD" w:rsidP="009D72FD">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advantages of the strategic buyers are not far from the advantages of the</w:t>
      </w:r>
    </w:p>
    <w:p w14:paraId="0F797F70" w14:textId="77777777" w:rsidR="009D72FD" w:rsidRDefault="009D72FD" w:rsidP="009D72FD">
      <w:pPr>
        <w:autoSpaceDE w:val="0"/>
        <w:autoSpaceDN w:val="0"/>
        <w:adjustRightInd w:val="0"/>
        <w:spacing w:after="0" w:line="240" w:lineRule="auto"/>
        <w:rPr>
          <w:rFonts w:ascii="ArialMT" w:hAnsi="ArialMT" w:cs="ArialMT"/>
          <w:sz w:val="24"/>
          <w:szCs w:val="24"/>
        </w:rPr>
      </w:pPr>
      <w:r>
        <w:rPr>
          <w:rFonts w:ascii="ArialMT" w:hAnsi="ArialMT" w:cs="ArialMT"/>
          <w:sz w:val="24"/>
          <w:szCs w:val="24"/>
        </w:rPr>
        <w:t xml:space="preserve">secondary buyout </w:t>
      </w:r>
      <w:proofErr w:type="gramStart"/>
      <w:r>
        <w:rPr>
          <w:rFonts w:ascii="ArialMT" w:hAnsi="ArialMT" w:cs="ArialMT"/>
          <w:sz w:val="24"/>
          <w:szCs w:val="24"/>
        </w:rPr>
        <w:t>exit</w:t>
      </w:r>
      <w:proofErr w:type="gramEnd"/>
      <w:r>
        <w:rPr>
          <w:rFonts w:ascii="ArialMT" w:hAnsi="ArialMT" w:cs="ArialMT"/>
          <w:sz w:val="24"/>
          <w:szCs w:val="24"/>
        </w:rPr>
        <w:t>. The main difference is the fact of the synergies. As it is a</w:t>
      </w:r>
    </w:p>
    <w:p w14:paraId="431AA30F" w14:textId="77777777" w:rsidR="009D72FD" w:rsidRDefault="009D72FD" w:rsidP="009D72FD">
      <w:pPr>
        <w:autoSpaceDE w:val="0"/>
        <w:autoSpaceDN w:val="0"/>
        <w:adjustRightInd w:val="0"/>
        <w:spacing w:after="0" w:line="240" w:lineRule="auto"/>
        <w:rPr>
          <w:rFonts w:ascii="ArialMT" w:hAnsi="ArialMT" w:cs="ArialMT"/>
          <w:sz w:val="24"/>
          <w:szCs w:val="24"/>
        </w:rPr>
      </w:pPr>
      <w:r>
        <w:rPr>
          <w:rFonts w:ascii="ArialMT" w:hAnsi="ArialMT" w:cs="ArialMT"/>
          <w:sz w:val="24"/>
          <w:szCs w:val="24"/>
        </w:rPr>
        <w:t>disadvantage for the secondary buyout exit, the synergies that will be created</w:t>
      </w:r>
    </w:p>
    <w:p w14:paraId="6FEE5934" w14:textId="77777777" w:rsidR="009D72FD" w:rsidRDefault="009D72FD" w:rsidP="009D72FD">
      <w:pPr>
        <w:autoSpaceDE w:val="0"/>
        <w:autoSpaceDN w:val="0"/>
        <w:adjustRightInd w:val="0"/>
        <w:spacing w:after="0" w:line="240" w:lineRule="auto"/>
        <w:rPr>
          <w:rFonts w:ascii="ArialMT" w:hAnsi="ArialMT" w:cs="ArialMT"/>
          <w:sz w:val="24"/>
          <w:szCs w:val="24"/>
        </w:rPr>
      </w:pPr>
      <w:r>
        <w:rPr>
          <w:rFonts w:ascii="ArialMT" w:hAnsi="ArialMT" w:cs="ArialMT"/>
          <w:sz w:val="24"/>
          <w:szCs w:val="24"/>
        </w:rPr>
        <w:t>due to the integration of the company portfolio with the strategic buyer will make</w:t>
      </w:r>
    </w:p>
    <w:p w14:paraId="25E1092B" w14:textId="77777777" w:rsidR="009D72FD" w:rsidRDefault="009D72FD" w:rsidP="009D72FD">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PE firm earn more money with the exit because of the premium paid by the</w:t>
      </w:r>
    </w:p>
    <w:p w14:paraId="4529720A" w14:textId="77777777" w:rsidR="009D72FD" w:rsidRDefault="009D72FD" w:rsidP="009D72FD">
      <w:pPr>
        <w:rPr>
          <w:rFonts w:ascii="ArialMT" w:hAnsi="ArialMT" w:cs="ArialMT"/>
          <w:sz w:val="24"/>
          <w:szCs w:val="24"/>
        </w:rPr>
      </w:pPr>
      <w:r>
        <w:rPr>
          <w:rFonts w:ascii="ArialMT" w:hAnsi="ArialMT" w:cs="ArialMT"/>
          <w:sz w:val="24"/>
          <w:szCs w:val="24"/>
        </w:rPr>
        <w:t>strategic buyer. The other advantages are almost equal.</w:t>
      </w:r>
    </w:p>
    <w:p w14:paraId="1EC7A391" w14:textId="77777777" w:rsidR="009D72FD" w:rsidRDefault="009D72FD" w:rsidP="00A40531">
      <w:pPr>
        <w:autoSpaceDE w:val="0"/>
        <w:autoSpaceDN w:val="0"/>
        <w:adjustRightInd w:val="0"/>
        <w:spacing w:after="0" w:line="240" w:lineRule="auto"/>
        <w:rPr>
          <w:rFonts w:ascii="ArialMT" w:hAnsi="ArialMT" w:cs="ArialMT"/>
          <w:sz w:val="24"/>
          <w:szCs w:val="24"/>
        </w:rPr>
      </w:pPr>
    </w:p>
    <w:p w14:paraId="49F8F528" w14:textId="689384EF" w:rsidR="009D72FD" w:rsidRPr="009D72FD" w:rsidRDefault="009D72FD" w:rsidP="00A40531">
      <w:pPr>
        <w:autoSpaceDE w:val="0"/>
        <w:autoSpaceDN w:val="0"/>
        <w:adjustRightInd w:val="0"/>
        <w:spacing w:after="0" w:line="240" w:lineRule="auto"/>
        <w:rPr>
          <w:rFonts w:ascii="ArialMT" w:hAnsi="ArialMT" w:cs="ArialMT"/>
          <w:b/>
          <w:sz w:val="24"/>
          <w:szCs w:val="24"/>
        </w:rPr>
      </w:pPr>
      <w:r w:rsidRPr="009D72FD">
        <w:rPr>
          <w:rFonts w:ascii="ArialMT" w:hAnsi="ArialMT" w:cs="ArialMT"/>
          <w:b/>
          <w:sz w:val="24"/>
          <w:szCs w:val="24"/>
        </w:rPr>
        <w:t>Disadvantages of exit through Secondary Buyout</w:t>
      </w:r>
    </w:p>
    <w:p w14:paraId="362E4A10" w14:textId="77777777" w:rsidR="009D72FD" w:rsidRDefault="009D72FD" w:rsidP="00A40531">
      <w:pPr>
        <w:autoSpaceDE w:val="0"/>
        <w:autoSpaceDN w:val="0"/>
        <w:adjustRightInd w:val="0"/>
        <w:spacing w:after="0" w:line="240" w:lineRule="auto"/>
        <w:rPr>
          <w:rFonts w:ascii="ArialMT" w:hAnsi="ArialMT" w:cs="ArialMT"/>
          <w:sz w:val="24"/>
          <w:szCs w:val="24"/>
        </w:rPr>
      </w:pPr>
    </w:p>
    <w:p w14:paraId="5C5947A2" w14:textId="4ED0AA9E"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There are some disadvantages in this type of exit. The first one and most</w:t>
      </w:r>
    </w:p>
    <w:p w14:paraId="681DE685"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important is that the financial buyers do not pay as much as strategic buyers. It</w:t>
      </w:r>
    </w:p>
    <w:p w14:paraId="5E215FE5"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is because they are not going to obtain synergies with the new company so they</w:t>
      </w:r>
    </w:p>
    <w:p w14:paraId="4168BD64"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lastRenderedPageBreak/>
        <w:t>will not pay a premium for the company. Another disadvantage of the secondary</w:t>
      </w:r>
    </w:p>
    <w:p w14:paraId="6A368010"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buyout exit is the fact that, as it is explained before, the financial sponsors buy</w:t>
      </w:r>
    </w:p>
    <w:p w14:paraId="47DBE4BE"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the companies with a large percentage of debt. In the case that the financial buyer</w:t>
      </w:r>
    </w:p>
    <w:p w14:paraId="59E31B52" w14:textId="77777777" w:rsidR="00A40531" w:rsidRDefault="00A40531" w:rsidP="00A40531">
      <w:pPr>
        <w:autoSpaceDE w:val="0"/>
        <w:autoSpaceDN w:val="0"/>
        <w:adjustRightInd w:val="0"/>
        <w:spacing w:after="0" w:line="240" w:lineRule="auto"/>
        <w:rPr>
          <w:rFonts w:ascii="ArialMT" w:hAnsi="ArialMT" w:cs="ArialMT"/>
          <w:sz w:val="24"/>
          <w:szCs w:val="24"/>
        </w:rPr>
      </w:pPr>
      <w:r>
        <w:rPr>
          <w:rFonts w:ascii="ArialMT" w:hAnsi="ArialMT" w:cs="ArialMT"/>
          <w:sz w:val="24"/>
          <w:szCs w:val="24"/>
        </w:rPr>
        <w:t>does not get the funding, the transaction will stop.</w:t>
      </w:r>
    </w:p>
    <w:p w14:paraId="60785C36" w14:textId="77777777" w:rsidR="009D72FD" w:rsidRDefault="009D72FD" w:rsidP="00A40531">
      <w:pPr>
        <w:autoSpaceDE w:val="0"/>
        <w:autoSpaceDN w:val="0"/>
        <w:adjustRightInd w:val="0"/>
        <w:spacing w:after="0" w:line="240" w:lineRule="auto"/>
        <w:rPr>
          <w:rFonts w:ascii="Arial-BoldMT" w:hAnsi="Arial-BoldMT" w:cs="Arial-BoldMT"/>
          <w:b/>
          <w:bCs/>
          <w:sz w:val="24"/>
          <w:szCs w:val="24"/>
        </w:rPr>
      </w:pPr>
    </w:p>
    <w:p w14:paraId="789C11DF" w14:textId="3C9C4AEC" w:rsidR="00A40531" w:rsidRDefault="00A40531" w:rsidP="00A40531">
      <w:pPr>
        <w:autoSpaceDE w:val="0"/>
        <w:autoSpaceDN w:val="0"/>
        <w:adjustRightInd w:val="0"/>
        <w:spacing w:after="0" w:line="240" w:lineRule="auto"/>
        <w:rPr>
          <w:rFonts w:ascii="Arial-BoldMT" w:hAnsi="Arial-BoldMT" w:cs="Arial-BoldMT"/>
          <w:b/>
          <w:bCs/>
          <w:sz w:val="24"/>
          <w:szCs w:val="24"/>
        </w:rPr>
      </w:pPr>
      <w:r>
        <w:rPr>
          <w:rFonts w:ascii="Arial-BoldMT" w:hAnsi="Arial-BoldMT" w:cs="Arial-BoldMT"/>
          <w:b/>
          <w:bCs/>
          <w:sz w:val="24"/>
          <w:szCs w:val="24"/>
        </w:rPr>
        <w:t xml:space="preserve"> </w:t>
      </w:r>
      <w:r w:rsidR="009D72FD">
        <w:rPr>
          <w:rFonts w:ascii="Arial-BoldMT" w:hAnsi="Arial-BoldMT" w:cs="Arial-BoldMT"/>
          <w:b/>
          <w:bCs/>
          <w:sz w:val="24"/>
          <w:szCs w:val="24"/>
        </w:rPr>
        <w:t>___________________________________________________________________</w:t>
      </w:r>
    </w:p>
    <w:p w14:paraId="76BEDBDD" w14:textId="77777777" w:rsidR="00A40531" w:rsidRDefault="00A40531" w:rsidP="00A40531">
      <w:pPr>
        <w:autoSpaceDE w:val="0"/>
        <w:autoSpaceDN w:val="0"/>
        <w:adjustRightInd w:val="0"/>
        <w:spacing w:after="0" w:line="240" w:lineRule="auto"/>
        <w:rPr>
          <w:rFonts w:ascii="ArialMT" w:hAnsi="ArialMT" w:cs="ArialMT"/>
          <w:sz w:val="24"/>
          <w:szCs w:val="24"/>
        </w:rPr>
      </w:pPr>
    </w:p>
    <w:p w14:paraId="53C42717" w14:textId="77777777" w:rsidR="009D72FD" w:rsidRDefault="009D72FD" w:rsidP="00A40531">
      <w:pPr>
        <w:rPr>
          <w:rFonts w:ascii="Arial-BoldMT" w:hAnsi="Arial-BoldMT" w:cs="Arial-BoldMT"/>
          <w:b/>
          <w:bCs/>
          <w:sz w:val="24"/>
          <w:szCs w:val="24"/>
        </w:rPr>
      </w:pPr>
    </w:p>
    <w:p w14:paraId="0B297E6D" w14:textId="77777777" w:rsidR="009D72FD" w:rsidRDefault="009D72FD" w:rsidP="00A40531">
      <w:pPr>
        <w:rPr>
          <w:rFonts w:ascii="Arial-BoldMT" w:hAnsi="Arial-BoldMT" w:cs="Arial-BoldMT"/>
          <w:b/>
          <w:bCs/>
          <w:sz w:val="24"/>
          <w:szCs w:val="24"/>
        </w:rPr>
      </w:pPr>
    </w:p>
    <w:p w14:paraId="265B57E7" w14:textId="271C7E64" w:rsidR="00777278" w:rsidRDefault="00777278" w:rsidP="00A40531">
      <w:pPr>
        <w:rPr>
          <w:rFonts w:ascii="Arial-BoldMT" w:hAnsi="Arial-BoldMT" w:cs="Arial-BoldMT"/>
          <w:b/>
          <w:bCs/>
          <w:sz w:val="24"/>
          <w:szCs w:val="24"/>
        </w:rPr>
      </w:pPr>
      <w:r>
        <w:rPr>
          <w:rFonts w:ascii="Arial-BoldMT" w:hAnsi="Arial-BoldMT" w:cs="Arial-BoldMT"/>
          <w:b/>
          <w:bCs/>
          <w:sz w:val="24"/>
          <w:szCs w:val="24"/>
        </w:rPr>
        <w:t>Repurchase by existing management;</w:t>
      </w:r>
    </w:p>
    <w:p w14:paraId="3840DA91" w14:textId="77777777" w:rsidR="001B6357" w:rsidRPr="001B6357" w:rsidRDefault="00777278" w:rsidP="001B6357">
      <w:pPr>
        <w:tabs>
          <w:tab w:val="left" w:pos="2017"/>
        </w:tabs>
        <w:spacing w:before="1" w:line="266" w:lineRule="auto"/>
        <w:ind w:right="1436"/>
        <w:rPr>
          <w:rFonts w:ascii="ArialMT" w:hAnsi="ArialMT" w:cs="ArialMT"/>
          <w:sz w:val="24"/>
          <w:szCs w:val="24"/>
        </w:rPr>
      </w:pPr>
      <w:r w:rsidRPr="001B6357">
        <w:rPr>
          <w:rFonts w:ascii="Arial-BoldMT" w:hAnsi="Arial-BoldMT" w:cs="Arial-BoldMT"/>
          <w:bCs/>
          <w:sz w:val="24"/>
          <w:szCs w:val="24"/>
        </w:rPr>
        <w:t xml:space="preserve">This is an ideal scenario type where the founder gets back to owning the majority stake in their entity, and </w:t>
      </w:r>
      <w:proofErr w:type="gramStart"/>
      <w:r w:rsidRPr="001B6357">
        <w:rPr>
          <w:rFonts w:ascii="Arial-BoldMT" w:hAnsi="Arial-BoldMT" w:cs="Arial-BoldMT"/>
          <w:bCs/>
          <w:sz w:val="24"/>
          <w:szCs w:val="24"/>
        </w:rPr>
        <w:t>an</w:t>
      </w:r>
      <w:proofErr w:type="gramEnd"/>
      <w:r w:rsidRPr="001B6357">
        <w:rPr>
          <w:rFonts w:ascii="Arial-BoldMT" w:hAnsi="Arial-BoldMT" w:cs="Arial-BoldMT"/>
          <w:bCs/>
          <w:sz w:val="24"/>
          <w:szCs w:val="24"/>
        </w:rPr>
        <w:t xml:space="preserve"> golden hand shake to the exiting Private Equity.  This is also </w:t>
      </w:r>
      <w:r w:rsidR="007377F3" w:rsidRPr="001B6357">
        <w:rPr>
          <w:rFonts w:ascii="Arial-BoldMT" w:hAnsi="Arial-BoldMT" w:cs="Arial-BoldMT"/>
          <w:bCs/>
          <w:sz w:val="24"/>
          <w:szCs w:val="24"/>
        </w:rPr>
        <w:t>referred</w:t>
      </w:r>
      <w:r w:rsidRPr="001B6357">
        <w:rPr>
          <w:rFonts w:ascii="Arial-BoldMT" w:hAnsi="Arial-BoldMT" w:cs="Arial-BoldMT"/>
          <w:bCs/>
          <w:sz w:val="24"/>
          <w:szCs w:val="24"/>
        </w:rPr>
        <w:t xml:space="preserve"> as Management </w:t>
      </w:r>
      <w:proofErr w:type="spellStart"/>
      <w:r w:rsidRPr="001B6357">
        <w:rPr>
          <w:rFonts w:ascii="Arial-BoldMT" w:hAnsi="Arial-BoldMT" w:cs="Arial-BoldMT"/>
          <w:bCs/>
          <w:sz w:val="24"/>
          <w:szCs w:val="24"/>
        </w:rPr>
        <w:t>buy out</w:t>
      </w:r>
      <w:proofErr w:type="spellEnd"/>
      <w:r w:rsidR="001B6357" w:rsidRPr="001B6357">
        <w:rPr>
          <w:rFonts w:ascii="Arial-BoldMT" w:hAnsi="Arial-BoldMT" w:cs="Arial-BoldMT"/>
          <w:bCs/>
          <w:sz w:val="24"/>
          <w:szCs w:val="24"/>
        </w:rPr>
        <w:t xml:space="preserve">. </w:t>
      </w:r>
      <w:r w:rsidR="001B6357" w:rsidRPr="001B6357">
        <w:rPr>
          <w:rFonts w:ascii="ArialMT" w:hAnsi="ArialMT" w:cs="ArialMT"/>
          <w:sz w:val="24"/>
          <w:szCs w:val="24"/>
        </w:rPr>
        <w:t>The exiting PE may, in rare cases, also get to earn a trail fee for the next n years as may be mutually agreed to by the parties, usually a % of EBIT, or a multiple based terminal value.</w:t>
      </w:r>
    </w:p>
    <w:p w14:paraId="36CA25C3" w14:textId="1C1DA49D" w:rsidR="00777278" w:rsidRPr="001B6357" w:rsidRDefault="00777278" w:rsidP="00A40531">
      <w:pPr>
        <w:rPr>
          <w:rFonts w:ascii="ArialMT" w:hAnsi="ArialMT" w:cs="ArialMT"/>
          <w:sz w:val="24"/>
          <w:szCs w:val="24"/>
        </w:rPr>
      </w:pPr>
    </w:p>
    <w:p w14:paraId="5EE43EB0" w14:textId="77777777" w:rsidR="001B6357" w:rsidRPr="00930B35" w:rsidRDefault="001B6357" w:rsidP="001B6357">
      <w:pPr>
        <w:pStyle w:val="Heading3"/>
        <w:tabs>
          <w:tab w:val="left" w:pos="1981"/>
        </w:tabs>
        <w:spacing w:before="124"/>
        <w:ind w:left="0" w:firstLine="0"/>
        <w:rPr>
          <w:rFonts w:ascii="ArialMT" w:eastAsiaTheme="minorHAnsi" w:hAnsi="ArialMT" w:cs="ArialMT"/>
          <w:bCs w:val="0"/>
          <w:lang w:val="en-IN"/>
        </w:rPr>
      </w:pPr>
      <w:r w:rsidRPr="00930B35">
        <w:rPr>
          <w:rFonts w:ascii="ArialMT" w:eastAsiaTheme="minorHAnsi" w:hAnsi="ArialMT" w:cs="ArialMT"/>
          <w:bCs w:val="0"/>
          <w:lang w:val="en-IN"/>
        </w:rPr>
        <w:t>Management Buy Outs (MBOs)</w:t>
      </w:r>
    </w:p>
    <w:p w14:paraId="7545C8D2" w14:textId="77777777" w:rsidR="001B6357" w:rsidRPr="001B6357" w:rsidRDefault="001B6357" w:rsidP="001B6357">
      <w:pPr>
        <w:pStyle w:val="BodyText"/>
        <w:spacing w:before="146" w:line="266" w:lineRule="auto"/>
        <w:ind w:left="0" w:right="1443"/>
        <w:jc w:val="both"/>
        <w:rPr>
          <w:rFonts w:ascii="ArialMT" w:eastAsiaTheme="minorHAnsi" w:hAnsi="ArialMT" w:cs="ArialMT"/>
          <w:sz w:val="24"/>
          <w:szCs w:val="24"/>
          <w:lang w:val="en-IN"/>
        </w:rPr>
      </w:pPr>
      <w:r w:rsidRPr="001B6357">
        <w:rPr>
          <w:rFonts w:ascii="ArialMT" w:eastAsiaTheme="minorHAnsi" w:hAnsi="ArialMT" w:cs="ArialMT"/>
          <w:sz w:val="24"/>
          <w:szCs w:val="24"/>
          <w:lang w:val="en-IN"/>
        </w:rPr>
        <w:t xml:space="preserve">The classic MBO represents the buyout made by the entity’s managers themselves. The logical reasoning is that they are best placed to run the operations efficiently. </w:t>
      </w:r>
      <w:proofErr w:type="gramStart"/>
      <w:r w:rsidRPr="001B6357">
        <w:rPr>
          <w:rFonts w:ascii="ArialMT" w:eastAsiaTheme="minorHAnsi" w:hAnsi="ArialMT" w:cs="ArialMT"/>
          <w:sz w:val="24"/>
          <w:szCs w:val="24"/>
          <w:lang w:val="en-IN"/>
        </w:rPr>
        <w:t>However</w:t>
      </w:r>
      <w:proofErr w:type="gramEnd"/>
      <w:r w:rsidRPr="001B6357">
        <w:rPr>
          <w:rFonts w:ascii="ArialMT" w:eastAsiaTheme="minorHAnsi" w:hAnsi="ArialMT" w:cs="ArialMT"/>
          <w:sz w:val="24"/>
          <w:szCs w:val="24"/>
          <w:lang w:val="en-IN"/>
        </w:rPr>
        <w:t xml:space="preserve"> the other side to this is that the managers of the entity may not be the best of the lot to bring in additional clients. Similarly, they may be on the conservative side when it comes to risk taking.</w:t>
      </w:r>
    </w:p>
    <w:p w14:paraId="61FAA60E" w14:textId="158993AD" w:rsidR="001B6357" w:rsidRPr="001B6357" w:rsidRDefault="001B6357" w:rsidP="009D72FD">
      <w:pPr>
        <w:pStyle w:val="BodyText"/>
        <w:spacing w:before="118" w:line="266" w:lineRule="auto"/>
        <w:ind w:left="0" w:right="1449"/>
        <w:jc w:val="both"/>
        <w:rPr>
          <w:rFonts w:ascii="ArialMT" w:eastAsiaTheme="minorHAnsi" w:hAnsi="ArialMT" w:cs="ArialMT"/>
          <w:sz w:val="24"/>
          <w:szCs w:val="24"/>
          <w:lang w:val="en-IN"/>
        </w:rPr>
      </w:pPr>
      <w:r w:rsidRPr="001B6357">
        <w:rPr>
          <w:rFonts w:ascii="ArialMT" w:eastAsiaTheme="minorHAnsi" w:hAnsi="ArialMT" w:cs="ArialMT"/>
          <w:sz w:val="24"/>
          <w:szCs w:val="24"/>
          <w:lang w:val="en-IN"/>
        </w:rPr>
        <w:t>However, with changing times, MBOs are also getting attention from PEs themselves. In an article published in The Hindu Business Line print edition dated July 10, 2008, explaining on the emerging features of MBOs - ‘Traditionally, Management Buy Outs (MBOs) involved the management wanting to purchase a controlling interest in the company and working along with financial advisors to fund the change of control. Today, MBO activities involve promoters divesting their stake in a firm by</w:t>
      </w:r>
      <w:r w:rsidR="009D72FD">
        <w:rPr>
          <w:rFonts w:ascii="ArialMT" w:eastAsiaTheme="minorHAnsi" w:hAnsi="ArialMT" w:cs="ArialMT"/>
          <w:sz w:val="24"/>
          <w:szCs w:val="24"/>
          <w:lang w:val="en-IN"/>
        </w:rPr>
        <w:t xml:space="preserve"> </w:t>
      </w:r>
      <w:r w:rsidRPr="001B6357">
        <w:rPr>
          <w:rFonts w:ascii="ArialMT" w:eastAsiaTheme="minorHAnsi" w:hAnsi="ArialMT" w:cs="ArialMT"/>
          <w:sz w:val="24"/>
          <w:szCs w:val="24"/>
          <w:lang w:val="en-IN"/>
        </w:rPr>
        <w:t xml:space="preserve">selling out to PE players willing to finance the asking price. The PE players are flexible enough to enter into a partnering relationship with the existing management. This sort of arrangement is basically just a stake buyout and not a classical MBO. It is common in scenarios where owners want to hive off entities with poor results and the management lacks funds to hold on to the entity (and their jobs) and are, in turn, bailed out by the PE firm’. This means that the PE brings in the finance as well as their clout in the market to attract additional business lines. Once the expected IRR is achieved, or the estimated cash-on-cash multiple is attained, the PE may also </w:t>
      </w:r>
      <w:proofErr w:type="gramStart"/>
      <w:r w:rsidRPr="001B6357">
        <w:rPr>
          <w:rFonts w:ascii="ArialMT" w:eastAsiaTheme="minorHAnsi" w:hAnsi="ArialMT" w:cs="ArialMT"/>
          <w:sz w:val="24"/>
          <w:szCs w:val="24"/>
          <w:lang w:val="en-IN"/>
        </w:rPr>
        <w:t>chose</w:t>
      </w:r>
      <w:proofErr w:type="gramEnd"/>
      <w:r w:rsidRPr="001B6357">
        <w:rPr>
          <w:rFonts w:ascii="ArialMT" w:eastAsiaTheme="minorHAnsi" w:hAnsi="ArialMT" w:cs="ArialMT"/>
          <w:sz w:val="24"/>
          <w:szCs w:val="24"/>
          <w:lang w:val="en-IN"/>
        </w:rPr>
        <w:t xml:space="preserve"> to exit out. One of the good examples of MBO in India is the purchase of Intelenet Global Services by Blackstone.</w:t>
      </w:r>
    </w:p>
    <w:p w14:paraId="3459D5C0" w14:textId="1F540892" w:rsidR="001B6357" w:rsidRDefault="00930B35" w:rsidP="00A40531">
      <w:pPr>
        <w:rPr>
          <w:rFonts w:ascii="ArialMT" w:hAnsi="ArialMT" w:cs="ArialMT"/>
          <w:sz w:val="24"/>
          <w:szCs w:val="24"/>
        </w:rPr>
      </w:pPr>
      <w:r>
        <w:rPr>
          <w:rFonts w:ascii="ArialMT" w:hAnsi="ArialMT" w:cs="ArialMT"/>
          <w:sz w:val="24"/>
          <w:szCs w:val="24"/>
        </w:rPr>
        <w:lastRenderedPageBreak/>
        <w:t>_______________________________________________________________</w:t>
      </w:r>
    </w:p>
    <w:p w14:paraId="565EBF6E" w14:textId="77777777" w:rsidR="00930B35" w:rsidRDefault="00930B35" w:rsidP="00A40531">
      <w:pPr>
        <w:rPr>
          <w:rFonts w:ascii="ArialMT" w:hAnsi="ArialMT" w:cs="ArialMT"/>
          <w:sz w:val="24"/>
          <w:szCs w:val="24"/>
        </w:rPr>
      </w:pPr>
      <w:r w:rsidRPr="00930B35">
        <w:rPr>
          <w:rFonts w:ascii="ArialMT" w:hAnsi="ArialMT" w:cs="ArialMT"/>
          <w:b/>
          <w:sz w:val="24"/>
          <w:szCs w:val="24"/>
        </w:rPr>
        <w:t>Liquidation</w:t>
      </w:r>
      <w:r w:rsidRPr="00930B35">
        <w:rPr>
          <w:rFonts w:ascii="ArialMT" w:hAnsi="ArialMT" w:cs="ArialMT"/>
          <w:sz w:val="24"/>
          <w:szCs w:val="24"/>
        </w:rPr>
        <w:t xml:space="preserve">: </w:t>
      </w:r>
    </w:p>
    <w:p w14:paraId="236604F0" w14:textId="75D99876" w:rsidR="00930B35" w:rsidRDefault="00930B35" w:rsidP="00A40531">
      <w:pPr>
        <w:rPr>
          <w:rFonts w:ascii="ArialMT" w:hAnsi="ArialMT" w:cs="ArialMT"/>
          <w:sz w:val="24"/>
          <w:szCs w:val="24"/>
        </w:rPr>
      </w:pPr>
      <w:r w:rsidRPr="00930B35">
        <w:rPr>
          <w:rFonts w:ascii="ArialMT" w:hAnsi="ArialMT" w:cs="ArialMT"/>
          <w:sz w:val="24"/>
          <w:szCs w:val="24"/>
        </w:rPr>
        <w:t>This is the least preferred method of exit, where the investor leaves out at a cash loss on capital invested. This usually happens where the investor cannot take further losses, or had made an over-estimate of expected returns, or a particular idea behind the venture hasn’t really taken off, or well received in the market. The term sheet usually provides financial safeguards to the VC against drastic losses.</w:t>
      </w:r>
    </w:p>
    <w:p w14:paraId="37BAD563" w14:textId="15990DCF" w:rsidR="00930B35" w:rsidRDefault="00930B35" w:rsidP="00A40531">
      <w:pPr>
        <w:rPr>
          <w:rFonts w:ascii="ArialMT" w:hAnsi="ArialMT" w:cs="ArialMT"/>
          <w:sz w:val="24"/>
          <w:szCs w:val="24"/>
        </w:rPr>
      </w:pPr>
    </w:p>
    <w:p w14:paraId="2BB385AF" w14:textId="5164409B" w:rsidR="00930B35" w:rsidRPr="00F1010A" w:rsidRDefault="00930B35" w:rsidP="00A40531">
      <w:pPr>
        <w:rPr>
          <w:rFonts w:ascii="ArialMT" w:hAnsi="ArialMT" w:cs="ArialMT"/>
          <w:b/>
          <w:sz w:val="24"/>
          <w:szCs w:val="24"/>
        </w:rPr>
      </w:pPr>
      <w:r w:rsidRPr="00F1010A">
        <w:rPr>
          <w:rFonts w:ascii="ArialMT" w:hAnsi="ArialMT" w:cs="ArialMT"/>
          <w:b/>
          <w:sz w:val="24"/>
          <w:szCs w:val="24"/>
        </w:rPr>
        <w:t>Mergers and Acquisitions</w:t>
      </w:r>
    </w:p>
    <w:p w14:paraId="79C884CB" w14:textId="77777777" w:rsidR="00F1010A" w:rsidRPr="00F1010A" w:rsidRDefault="00F1010A" w:rsidP="00F1010A">
      <w:pPr>
        <w:textAlignment w:val="baseline"/>
        <w:rPr>
          <w:rFonts w:ascii="ArialMT" w:hAnsi="ArialMT" w:cs="ArialMT"/>
          <w:sz w:val="24"/>
          <w:szCs w:val="24"/>
        </w:rPr>
      </w:pPr>
      <w:r>
        <w:rPr>
          <w:rFonts w:ascii="Segoe UI" w:hAnsi="Segoe UI" w:cs="Segoe UI"/>
          <w:color w:val="07070C"/>
          <w:spacing w:val="-6"/>
        </w:rPr>
        <w:t> </w:t>
      </w:r>
      <w:r w:rsidRPr="00F1010A">
        <w:rPr>
          <w:rFonts w:ascii="ArialMT" w:hAnsi="ArialMT" w:cs="ArialMT"/>
          <w:sz w:val="24"/>
          <w:szCs w:val="24"/>
        </w:rPr>
        <w:t xml:space="preserve">merger or acquisition is a strong exit plan option for any company with their business for sale, and a particularly attractive option for </w:t>
      </w:r>
      <w:proofErr w:type="spellStart"/>
      <w:r w:rsidRPr="00F1010A">
        <w:rPr>
          <w:rFonts w:ascii="ArialMT" w:hAnsi="ArialMT" w:cs="ArialMT"/>
          <w:sz w:val="24"/>
          <w:szCs w:val="24"/>
        </w:rPr>
        <w:t>startups</w:t>
      </w:r>
      <w:proofErr w:type="spellEnd"/>
      <w:r w:rsidRPr="00F1010A">
        <w:rPr>
          <w:rFonts w:ascii="ArialMT" w:hAnsi="ArialMT" w:cs="ArialMT"/>
          <w:sz w:val="24"/>
          <w:szCs w:val="24"/>
        </w:rPr>
        <w:t xml:space="preserve"> and entrepreneurs. You’ll be </w:t>
      </w:r>
      <w:hyperlink r:id="rId5" w:history="1">
        <w:r w:rsidRPr="00F1010A">
          <w:rPr>
            <w:rFonts w:ascii="ArialMT" w:hAnsi="ArialMT" w:cs="ArialMT"/>
            <w:sz w:val="24"/>
            <w:szCs w:val="24"/>
          </w:rPr>
          <w:t>selling your business</w:t>
        </w:r>
      </w:hyperlink>
      <w:r w:rsidRPr="00F1010A">
        <w:rPr>
          <w:rFonts w:ascii="ArialMT" w:hAnsi="ArialMT" w:cs="ArialMT"/>
          <w:sz w:val="24"/>
          <w:szCs w:val="24"/>
        </w:rPr>
        <w:t> to another company, who may want to increase their geographic footprint, eliminate competition, or acquire your talent, infrastructure or product.</w:t>
      </w:r>
    </w:p>
    <w:p w14:paraId="1C9B5BAE" w14:textId="4318430C" w:rsidR="00F1010A" w:rsidRPr="00F1010A" w:rsidRDefault="00F1010A" w:rsidP="00F1010A">
      <w:pPr>
        <w:pStyle w:val="Heading4"/>
        <w:spacing w:before="480" w:after="180" w:line="420" w:lineRule="atLeast"/>
        <w:ind w:left="0"/>
        <w:textAlignment w:val="baseline"/>
        <w:rPr>
          <w:rFonts w:ascii="ArialMT" w:eastAsiaTheme="minorHAnsi" w:hAnsi="ArialMT" w:cs="ArialMT"/>
          <w:b w:val="0"/>
          <w:bCs w:val="0"/>
          <w:sz w:val="24"/>
          <w:szCs w:val="24"/>
          <w:lang w:val="en-IN"/>
        </w:rPr>
      </w:pPr>
      <w:r>
        <w:rPr>
          <w:rFonts w:ascii="ArialMT" w:eastAsiaTheme="minorHAnsi" w:hAnsi="ArialMT" w:cs="ArialMT"/>
          <w:b w:val="0"/>
          <w:bCs w:val="0"/>
          <w:sz w:val="24"/>
          <w:szCs w:val="24"/>
          <w:lang w:val="en-IN"/>
        </w:rPr>
        <w:t xml:space="preserve">Advantages </w:t>
      </w:r>
    </w:p>
    <w:p w14:paraId="4B0361FC" w14:textId="41EA0711" w:rsidR="00F1010A" w:rsidRDefault="00F1010A" w:rsidP="00F1010A">
      <w:pPr>
        <w:numPr>
          <w:ilvl w:val="0"/>
          <w:numId w:val="3"/>
        </w:numPr>
        <w:spacing w:after="0" w:line="360" w:lineRule="atLeast"/>
        <w:ind w:left="0"/>
        <w:textAlignment w:val="baseline"/>
        <w:rPr>
          <w:rFonts w:ascii="ArialMT" w:hAnsi="ArialMT" w:cs="ArialMT"/>
          <w:sz w:val="24"/>
          <w:szCs w:val="24"/>
        </w:rPr>
      </w:pPr>
      <w:r w:rsidRPr="00F1010A">
        <w:rPr>
          <w:rFonts w:ascii="ArialMT" w:hAnsi="ArialMT" w:cs="ArialMT"/>
          <w:sz w:val="24"/>
          <w:szCs w:val="24"/>
        </w:rPr>
        <w:t>This is one of the strongest exit strategies for business owners, as they can maintain control over price negotiations and set their own terms. If you are selling to a competitor or entertaining multiple bids, you may be able to drive the price up even further. </w:t>
      </w:r>
    </w:p>
    <w:p w14:paraId="146F4F5D" w14:textId="77777777" w:rsidR="00F1010A" w:rsidRDefault="00F1010A" w:rsidP="00F1010A">
      <w:pPr>
        <w:spacing w:after="0" w:line="360" w:lineRule="atLeast"/>
        <w:textAlignment w:val="baseline"/>
        <w:rPr>
          <w:rFonts w:ascii="ArialMT" w:hAnsi="ArialMT" w:cs="ArialMT"/>
          <w:sz w:val="24"/>
          <w:szCs w:val="24"/>
        </w:rPr>
      </w:pPr>
    </w:p>
    <w:p w14:paraId="4A1DF9EF" w14:textId="4068ED95" w:rsidR="00F1010A" w:rsidRDefault="00F1010A" w:rsidP="00F1010A">
      <w:pPr>
        <w:spacing w:after="0" w:line="360" w:lineRule="atLeast"/>
        <w:textAlignment w:val="baseline"/>
        <w:rPr>
          <w:rFonts w:ascii="ArialMT" w:hAnsi="ArialMT" w:cs="ArialMT"/>
          <w:sz w:val="24"/>
          <w:szCs w:val="24"/>
        </w:rPr>
      </w:pPr>
      <w:r>
        <w:rPr>
          <w:rFonts w:ascii="ArialMT" w:hAnsi="ArialMT" w:cs="ArialMT"/>
          <w:sz w:val="24"/>
          <w:szCs w:val="24"/>
        </w:rPr>
        <w:t>Disadvantages</w:t>
      </w:r>
    </w:p>
    <w:p w14:paraId="0D5CE925" w14:textId="77777777" w:rsidR="00F1010A" w:rsidRPr="00F1010A" w:rsidRDefault="00F1010A" w:rsidP="00F1010A">
      <w:pPr>
        <w:spacing w:after="0" w:line="360" w:lineRule="atLeast"/>
        <w:textAlignment w:val="baseline"/>
        <w:rPr>
          <w:rFonts w:ascii="ArialMT" w:hAnsi="ArialMT" w:cs="ArialMT"/>
          <w:sz w:val="24"/>
          <w:szCs w:val="24"/>
        </w:rPr>
      </w:pPr>
    </w:p>
    <w:p w14:paraId="2E885C62" w14:textId="77777777" w:rsidR="00F1010A" w:rsidRDefault="00F1010A" w:rsidP="00F1010A">
      <w:pPr>
        <w:pStyle w:val="NormalWeb"/>
        <w:numPr>
          <w:ilvl w:val="0"/>
          <w:numId w:val="4"/>
        </w:numPr>
        <w:pBdr>
          <w:bottom w:val="single" w:sz="12" w:space="1" w:color="auto"/>
        </w:pBdr>
        <w:spacing w:before="0" w:beforeAutospacing="0" w:after="0" w:afterAutospacing="0" w:line="360" w:lineRule="atLeast"/>
        <w:ind w:left="0"/>
        <w:textAlignment w:val="baseline"/>
        <w:rPr>
          <w:rFonts w:ascii="ArialMT" w:eastAsiaTheme="minorHAnsi" w:hAnsi="ArialMT" w:cs="ArialMT"/>
        </w:rPr>
      </w:pPr>
      <w:r w:rsidRPr="00F1010A">
        <w:rPr>
          <w:rFonts w:ascii="ArialMT" w:eastAsiaTheme="minorHAnsi" w:hAnsi="ArialMT" w:cs="ArialMT"/>
          <w:lang w:eastAsia="en-US"/>
        </w:rPr>
        <w:t>M&amp;A processes can be time-consuming and costly, and regularly fail.</w:t>
      </w:r>
    </w:p>
    <w:p w14:paraId="40C0B447" w14:textId="5C1B7A54" w:rsidR="00F1010A" w:rsidRPr="00F1010A" w:rsidRDefault="00F1010A" w:rsidP="00F1010A">
      <w:pPr>
        <w:pStyle w:val="NormalWeb"/>
        <w:spacing w:before="0" w:beforeAutospacing="0" w:after="0" w:afterAutospacing="0" w:line="360" w:lineRule="atLeast"/>
        <w:textAlignment w:val="baseline"/>
        <w:rPr>
          <w:rFonts w:ascii="ArialMT" w:eastAsiaTheme="minorHAnsi" w:hAnsi="ArialMT" w:cs="ArialMT"/>
        </w:rPr>
      </w:pPr>
      <w:r w:rsidRPr="00F1010A">
        <w:rPr>
          <w:rFonts w:ascii="ArialMT" w:eastAsiaTheme="minorHAnsi" w:hAnsi="ArialMT" w:cs="ArialMT"/>
          <w:b/>
          <w:bCs/>
        </w:rPr>
        <w:t xml:space="preserve"> </w:t>
      </w:r>
    </w:p>
    <w:p w14:paraId="0E0F4CF5" w14:textId="77777777" w:rsidR="00930B35" w:rsidRPr="00777278" w:rsidRDefault="00930B35" w:rsidP="00A40531">
      <w:pPr>
        <w:rPr>
          <w:rFonts w:ascii="ArialMT" w:hAnsi="ArialMT" w:cs="ArialMT"/>
          <w:sz w:val="24"/>
          <w:szCs w:val="24"/>
        </w:rPr>
      </w:pPr>
    </w:p>
    <w:p w14:paraId="7A32EE9B" w14:textId="77777777" w:rsidR="00777278" w:rsidRPr="001B6357" w:rsidRDefault="00777278" w:rsidP="00A40531">
      <w:pPr>
        <w:rPr>
          <w:rFonts w:ascii="ArialMT" w:hAnsi="ArialMT" w:cs="ArialMT"/>
          <w:sz w:val="24"/>
          <w:szCs w:val="24"/>
        </w:rPr>
      </w:pPr>
    </w:p>
    <w:sectPr w:rsidR="00777278" w:rsidRPr="001B635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ArialMT">
    <w:altName w:val="Arial"/>
    <w:panose1 w:val="00000000000000000000"/>
    <w:charset w:val="00"/>
    <w:family w:val="auto"/>
    <w:notTrueType/>
    <w:pitch w:val="default"/>
    <w:sig w:usb0="00000003" w:usb1="00000000" w:usb2="00000000" w:usb3="00000000" w:csb0="00000001" w:csb1="00000000"/>
  </w:font>
  <w:font w:name="ff3">
    <w:altName w:val="Cambria"/>
    <w:panose1 w:val="00000000000000000000"/>
    <w:charset w:val="00"/>
    <w:family w:val="roman"/>
    <w:notTrueType/>
    <w:pitch w:val="default"/>
  </w:font>
  <w:font w:name="Arial-BoldMT">
    <w:altName w:val="Arial"/>
    <w:panose1 w:val="00000000000000000000"/>
    <w:charset w:val="00"/>
    <w:family w:val="auto"/>
    <w:notTrueType/>
    <w:pitch w:val="default"/>
    <w:sig w:usb0="00000003" w:usb1="00000000" w:usb2="00000000" w:usb3="00000000" w:csb0="00000001" w:csb1="00000000"/>
  </w:font>
  <w:font w:name="SymbolMT">
    <w:altName w:val="Calibri"/>
    <w:panose1 w:val="00000000000000000000"/>
    <w:charset w:val="00"/>
    <w:family w:val="swiss"/>
    <w:notTrueType/>
    <w:pitch w:val="default"/>
    <w:sig w:usb0="00000003" w:usb1="00000000" w:usb2="00000000" w:usb3="00000000" w:csb0="00000001" w:csb1="00000000"/>
  </w:font>
  <w:font w:name="Arial-ItalicMT">
    <w:altName w:val="Arial"/>
    <w:panose1 w:val="00000000000000000000"/>
    <w:charset w:val="00"/>
    <w:family w:val="auto"/>
    <w:notTrueType/>
    <w:pitch w:val="default"/>
    <w:sig w:usb0="00000003" w:usb1="00000000" w:usb2="00000000" w:usb3="00000000" w:csb0="0000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2267A"/>
    <w:multiLevelType w:val="multilevel"/>
    <w:tmpl w:val="1E8668EA"/>
    <w:lvl w:ilvl="0">
      <w:start w:val="2"/>
      <w:numFmt w:val="decimal"/>
      <w:lvlText w:val="%1"/>
      <w:lvlJc w:val="left"/>
      <w:pPr>
        <w:ind w:left="1980" w:hanging="540"/>
        <w:jc w:val="left"/>
      </w:pPr>
      <w:rPr>
        <w:rFonts w:hint="default"/>
        <w:lang w:val="en-US" w:eastAsia="en-US" w:bidi="ar-SA"/>
      </w:rPr>
    </w:lvl>
    <w:lvl w:ilvl="1">
      <w:start w:val="1"/>
      <w:numFmt w:val="decimal"/>
      <w:lvlText w:val="%1.%2"/>
      <w:lvlJc w:val="left"/>
      <w:pPr>
        <w:ind w:left="1980" w:hanging="540"/>
        <w:jc w:val="left"/>
      </w:pPr>
      <w:rPr>
        <w:rFonts w:ascii="Arial" w:eastAsia="Arial" w:hAnsi="Arial" w:cs="Arial" w:hint="default"/>
        <w:b/>
        <w:bCs/>
        <w:color w:val="28156E"/>
        <w:spacing w:val="-1"/>
        <w:w w:val="82"/>
        <w:sz w:val="28"/>
        <w:szCs w:val="28"/>
        <w:lang w:val="en-US" w:eastAsia="en-US" w:bidi="ar-SA"/>
      </w:rPr>
    </w:lvl>
    <w:lvl w:ilvl="2">
      <w:start w:val="1"/>
      <w:numFmt w:val="decimal"/>
      <w:lvlText w:val="%1.%2.%3"/>
      <w:lvlJc w:val="left"/>
      <w:pPr>
        <w:ind w:left="1980" w:hanging="540"/>
        <w:jc w:val="left"/>
      </w:pPr>
      <w:rPr>
        <w:rFonts w:ascii="Arial" w:eastAsia="Arial" w:hAnsi="Arial" w:cs="Arial" w:hint="default"/>
        <w:b/>
        <w:bCs/>
        <w:color w:val="28156E"/>
        <w:spacing w:val="-2"/>
        <w:w w:val="82"/>
        <w:sz w:val="24"/>
        <w:szCs w:val="24"/>
        <w:lang w:val="en-US" w:eastAsia="en-US" w:bidi="ar-SA"/>
      </w:rPr>
    </w:lvl>
    <w:lvl w:ilvl="3">
      <w:numFmt w:val="bullet"/>
      <w:lvlText w:val="•"/>
      <w:lvlJc w:val="left"/>
      <w:pPr>
        <w:ind w:left="4734" w:hanging="540"/>
      </w:pPr>
      <w:rPr>
        <w:rFonts w:hint="default"/>
        <w:lang w:val="en-US" w:eastAsia="en-US" w:bidi="ar-SA"/>
      </w:rPr>
    </w:lvl>
    <w:lvl w:ilvl="4">
      <w:numFmt w:val="bullet"/>
      <w:lvlText w:val="•"/>
      <w:lvlJc w:val="left"/>
      <w:pPr>
        <w:ind w:left="5652" w:hanging="540"/>
      </w:pPr>
      <w:rPr>
        <w:rFonts w:hint="default"/>
        <w:lang w:val="en-US" w:eastAsia="en-US" w:bidi="ar-SA"/>
      </w:rPr>
    </w:lvl>
    <w:lvl w:ilvl="5">
      <w:numFmt w:val="bullet"/>
      <w:lvlText w:val="•"/>
      <w:lvlJc w:val="left"/>
      <w:pPr>
        <w:ind w:left="6570" w:hanging="540"/>
      </w:pPr>
      <w:rPr>
        <w:rFonts w:hint="default"/>
        <w:lang w:val="en-US" w:eastAsia="en-US" w:bidi="ar-SA"/>
      </w:rPr>
    </w:lvl>
    <w:lvl w:ilvl="6">
      <w:numFmt w:val="bullet"/>
      <w:lvlText w:val="•"/>
      <w:lvlJc w:val="left"/>
      <w:pPr>
        <w:ind w:left="7488" w:hanging="540"/>
      </w:pPr>
      <w:rPr>
        <w:rFonts w:hint="default"/>
        <w:lang w:val="en-US" w:eastAsia="en-US" w:bidi="ar-SA"/>
      </w:rPr>
    </w:lvl>
    <w:lvl w:ilvl="7">
      <w:numFmt w:val="bullet"/>
      <w:lvlText w:val="•"/>
      <w:lvlJc w:val="left"/>
      <w:pPr>
        <w:ind w:left="8406" w:hanging="540"/>
      </w:pPr>
      <w:rPr>
        <w:rFonts w:hint="default"/>
        <w:lang w:val="en-US" w:eastAsia="en-US" w:bidi="ar-SA"/>
      </w:rPr>
    </w:lvl>
    <w:lvl w:ilvl="8">
      <w:numFmt w:val="bullet"/>
      <w:lvlText w:val="•"/>
      <w:lvlJc w:val="left"/>
      <w:pPr>
        <w:ind w:left="9324" w:hanging="540"/>
      </w:pPr>
      <w:rPr>
        <w:rFonts w:hint="default"/>
        <w:lang w:val="en-US" w:eastAsia="en-US" w:bidi="ar-SA"/>
      </w:rPr>
    </w:lvl>
  </w:abstractNum>
  <w:abstractNum w:abstractNumId="1" w15:restartNumberingAfterBreak="0">
    <w:nsid w:val="32D9747E"/>
    <w:multiLevelType w:val="hybridMultilevel"/>
    <w:tmpl w:val="D11250BC"/>
    <w:lvl w:ilvl="0" w:tplc="9A7284D6">
      <w:start w:val="1"/>
      <w:numFmt w:val="lowerRoman"/>
      <w:lvlText w:val="(%1)"/>
      <w:lvlJc w:val="left"/>
      <w:pPr>
        <w:ind w:left="1440" w:hanging="576"/>
        <w:jc w:val="left"/>
      </w:pPr>
      <w:rPr>
        <w:rFonts w:ascii="Arial" w:eastAsia="Arial" w:hAnsi="Arial" w:cs="Arial" w:hint="default"/>
        <w:b/>
        <w:bCs/>
        <w:spacing w:val="0"/>
        <w:w w:val="82"/>
        <w:sz w:val="22"/>
        <w:szCs w:val="22"/>
        <w:lang w:val="en-US" w:eastAsia="en-US" w:bidi="ar-SA"/>
      </w:rPr>
    </w:lvl>
    <w:lvl w:ilvl="1" w:tplc="967A331A">
      <w:numFmt w:val="bullet"/>
      <w:lvlText w:val="•"/>
      <w:lvlJc w:val="left"/>
      <w:pPr>
        <w:ind w:left="2412" w:hanging="576"/>
      </w:pPr>
      <w:rPr>
        <w:rFonts w:hint="default"/>
        <w:lang w:val="en-US" w:eastAsia="en-US" w:bidi="ar-SA"/>
      </w:rPr>
    </w:lvl>
    <w:lvl w:ilvl="2" w:tplc="C7D6E210">
      <w:numFmt w:val="bullet"/>
      <w:lvlText w:val="•"/>
      <w:lvlJc w:val="left"/>
      <w:pPr>
        <w:ind w:left="3384" w:hanging="576"/>
      </w:pPr>
      <w:rPr>
        <w:rFonts w:hint="default"/>
        <w:lang w:val="en-US" w:eastAsia="en-US" w:bidi="ar-SA"/>
      </w:rPr>
    </w:lvl>
    <w:lvl w:ilvl="3" w:tplc="3E7813A2">
      <w:numFmt w:val="bullet"/>
      <w:lvlText w:val="•"/>
      <w:lvlJc w:val="left"/>
      <w:pPr>
        <w:ind w:left="4356" w:hanging="576"/>
      </w:pPr>
      <w:rPr>
        <w:rFonts w:hint="default"/>
        <w:lang w:val="en-US" w:eastAsia="en-US" w:bidi="ar-SA"/>
      </w:rPr>
    </w:lvl>
    <w:lvl w:ilvl="4" w:tplc="9D4CE0D8">
      <w:numFmt w:val="bullet"/>
      <w:lvlText w:val="•"/>
      <w:lvlJc w:val="left"/>
      <w:pPr>
        <w:ind w:left="5328" w:hanging="576"/>
      </w:pPr>
      <w:rPr>
        <w:rFonts w:hint="default"/>
        <w:lang w:val="en-US" w:eastAsia="en-US" w:bidi="ar-SA"/>
      </w:rPr>
    </w:lvl>
    <w:lvl w:ilvl="5" w:tplc="43EE7016">
      <w:numFmt w:val="bullet"/>
      <w:lvlText w:val="•"/>
      <w:lvlJc w:val="left"/>
      <w:pPr>
        <w:ind w:left="6300" w:hanging="576"/>
      </w:pPr>
      <w:rPr>
        <w:rFonts w:hint="default"/>
        <w:lang w:val="en-US" w:eastAsia="en-US" w:bidi="ar-SA"/>
      </w:rPr>
    </w:lvl>
    <w:lvl w:ilvl="6" w:tplc="83189CA2">
      <w:numFmt w:val="bullet"/>
      <w:lvlText w:val="•"/>
      <w:lvlJc w:val="left"/>
      <w:pPr>
        <w:ind w:left="7272" w:hanging="576"/>
      </w:pPr>
      <w:rPr>
        <w:rFonts w:hint="default"/>
        <w:lang w:val="en-US" w:eastAsia="en-US" w:bidi="ar-SA"/>
      </w:rPr>
    </w:lvl>
    <w:lvl w:ilvl="7" w:tplc="933A925E">
      <w:numFmt w:val="bullet"/>
      <w:lvlText w:val="•"/>
      <w:lvlJc w:val="left"/>
      <w:pPr>
        <w:ind w:left="8244" w:hanging="576"/>
      </w:pPr>
      <w:rPr>
        <w:rFonts w:hint="default"/>
        <w:lang w:val="en-US" w:eastAsia="en-US" w:bidi="ar-SA"/>
      </w:rPr>
    </w:lvl>
    <w:lvl w:ilvl="8" w:tplc="B554EE56">
      <w:numFmt w:val="bullet"/>
      <w:lvlText w:val="•"/>
      <w:lvlJc w:val="left"/>
      <w:pPr>
        <w:ind w:left="9216" w:hanging="576"/>
      </w:pPr>
      <w:rPr>
        <w:rFonts w:hint="default"/>
        <w:lang w:val="en-US" w:eastAsia="en-US" w:bidi="ar-SA"/>
      </w:rPr>
    </w:lvl>
  </w:abstractNum>
  <w:abstractNum w:abstractNumId="2" w15:restartNumberingAfterBreak="0">
    <w:nsid w:val="45EC23BA"/>
    <w:multiLevelType w:val="multilevel"/>
    <w:tmpl w:val="C34CD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9C6161A"/>
    <w:multiLevelType w:val="multilevel"/>
    <w:tmpl w:val="18C4A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6330"/>
    <w:rsid w:val="001B6357"/>
    <w:rsid w:val="00306330"/>
    <w:rsid w:val="003E15AF"/>
    <w:rsid w:val="007377F3"/>
    <w:rsid w:val="00777278"/>
    <w:rsid w:val="00930B35"/>
    <w:rsid w:val="009D72FD"/>
    <w:rsid w:val="00A40531"/>
    <w:rsid w:val="00F1010A"/>
    <w:rsid w:val="00FD5EEC"/>
    <w:rsid w:val="00FF341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C0B19"/>
  <w15:chartTrackingRefBased/>
  <w15:docId w15:val="{15F66510-84FF-4B48-9638-B38FEA7DC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unhideWhenUsed/>
    <w:qFormat/>
    <w:rsid w:val="001B6357"/>
    <w:pPr>
      <w:widowControl w:val="0"/>
      <w:autoSpaceDE w:val="0"/>
      <w:autoSpaceDN w:val="0"/>
      <w:spacing w:before="94" w:after="0" w:line="240" w:lineRule="auto"/>
      <w:ind w:left="1980" w:hanging="541"/>
      <w:outlineLvl w:val="2"/>
    </w:pPr>
    <w:rPr>
      <w:rFonts w:ascii="Arial" w:eastAsia="Arial" w:hAnsi="Arial" w:cs="Arial"/>
      <w:b/>
      <w:bCs/>
      <w:sz w:val="24"/>
      <w:szCs w:val="24"/>
      <w:lang w:val="en-US"/>
    </w:rPr>
  </w:style>
  <w:style w:type="paragraph" w:styleId="Heading4">
    <w:name w:val="heading 4"/>
    <w:basedOn w:val="Normal"/>
    <w:link w:val="Heading4Char"/>
    <w:uiPriority w:val="9"/>
    <w:unhideWhenUsed/>
    <w:qFormat/>
    <w:rsid w:val="001B6357"/>
    <w:pPr>
      <w:widowControl w:val="0"/>
      <w:autoSpaceDE w:val="0"/>
      <w:autoSpaceDN w:val="0"/>
      <w:spacing w:before="80" w:after="0" w:line="240" w:lineRule="auto"/>
      <w:ind w:left="3241"/>
      <w:outlineLvl w:val="3"/>
    </w:pPr>
    <w:rPr>
      <w:rFonts w:ascii="Arial" w:eastAsia="Arial" w:hAnsi="Arial" w:cs="Arial"/>
      <w:b/>
      <w:bC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06330"/>
    <w:rPr>
      <w:color w:val="0000FF"/>
      <w:u w:val="single"/>
    </w:rPr>
  </w:style>
  <w:style w:type="character" w:customStyle="1" w:styleId="Heading3Char">
    <w:name w:val="Heading 3 Char"/>
    <w:basedOn w:val="DefaultParagraphFont"/>
    <w:link w:val="Heading3"/>
    <w:uiPriority w:val="9"/>
    <w:rsid w:val="001B6357"/>
    <w:rPr>
      <w:rFonts w:ascii="Arial" w:eastAsia="Arial" w:hAnsi="Arial" w:cs="Arial"/>
      <w:b/>
      <w:bCs/>
      <w:sz w:val="24"/>
      <w:szCs w:val="24"/>
      <w:lang w:val="en-US"/>
    </w:rPr>
  </w:style>
  <w:style w:type="character" w:customStyle="1" w:styleId="Heading4Char">
    <w:name w:val="Heading 4 Char"/>
    <w:basedOn w:val="DefaultParagraphFont"/>
    <w:link w:val="Heading4"/>
    <w:uiPriority w:val="9"/>
    <w:rsid w:val="001B6357"/>
    <w:rPr>
      <w:rFonts w:ascii="Arial" w:eastAsia="Arial" w:hAnsi="Arial" w:cs="Arial"/>
      <w:b/>
      <w:bCs/>
      <w:lang w:val="en-US"/>
    </w:rPr>
  </w:style>
  <w:style w:type="paragraph" w:styleId="BodyText">
    <w:name w:val="Body Text"/>
    <w:basedOn w:val="Normal"/>
    <w:link w:val="BodyTextChar"/>
    <w:uiPriority w:val="1"/>
    <w:qFormat/>
    <w:rsid w:val="001B6357"/>
    <w:pPr>
      <w:widowControl w:val="0"/>
      <w:autoSpaceDE w:val="0"/>
      <w:autoSpaceDN w:val="0"/>
      <w:spacing w:after="0" w:line="240" w:lineRule="auto"/>
      <w:ind w:left="1440"/>
    </w:pPr>
    <w:rPr>
      <w:rFonts w:ascii="Arial MT" w:eastAsia="Arial MT" w:hAnsi="Arial MT" w:cs="Arial MT"/>
      <w:lang w:val="en-US"/>
    </w:rPr>
  </w:style>
  <w:style w:type="character" w:customStyle="1" w:styleId="BodyTextChar">
    <w:name w:val="Body Text Char"/>
    <w:basedOn w:val="DefaultParagraphFont"/>
    <w:link w:val="BodyText"/>
    <w:uiPriority w:val="1"/>
    <w:rsid w:val="001B6357"/>
    <w:rPr>
      <w:rFonts w:ascii="Arial MT" w:eastAsia="Arial MT" w:hAnsi="Arial MT" w:cs="Arial MT"/>
      <w:lang w:val="en-US"/>
    </w:rPr>
  </w:style>
  <w:style w:type="paragraph" w:styleId="ListParagraph">
    <w:name w:val="List Paragraph"/>
    <w:basedOn w:val="Normal"/>
    <w:uiPriority w:val="1"/>
    <w:qFormat/>
    <w:rsid w:val="001B6357"/>
    <w:pPr>
      <w:widowControl w:val="0"/>
      <w:autoSpaceDE w:val="0"/>
      <w:autoSpaceDN w:val="0"/>
      <w:spacing w:before="148" w:after="0" w:line="240" w:lineRule="auto"/>
      <w:ind w:left="2016" w:hanging="577"/>
      <w:jc w:val="both"/>
    </w:pPr>
    <w:rPr>
      <w:rFonts w:ascii="Arial MT" w:eastAsia="Arial MT" w:hAnsi="Arial MT" w:cs="Arial MT"/>
      <w:lang w:val="en-US"/>
    </w:rPr>
  </w:style>
  <w:style w:type="paragraph" w:styleId="NormalWeb">
    <w:name w:val="Normal (Web)"/>
    <w:basedOn w:val="Normal"/>
    <w:uiPriority w:val="99"/>
    <w:unhideWhenUsed/>
    <w:rsid w:val="00F1010A"/>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4572765">
      <w:bodyDiv w:val="1"/>
      <w:marLeft w:val="0"/>
      <w:marRight w:val="0"/>
      <w:marTop w:val="0"/>
      <w:marBottom w:val="0"/>
      <w:divBdr>
        <w:top w:val="none" w:sz="0" w:space="0" w:color="auto"/>
        <w:left w:val="none" w:sz="0" w:space="0" w:color="auto"/>
        <w:bottom w:val="none" w:sz="0" w:space="0" w:color="auto"/>
        <w:right w:val="none" w:sz="0" w:space="0" w:color="auto"/>
      </w:divBdr>
    </w:div>
    <w:div w:id="1139035269">
      <w:bodyDiv w:val="1"/>
      <w:marLeft w:val="0"/>
      <w:marRight w:val="0"/>
      <w:marTop w:val="0"/>
      <w:marBottom w:val="0"/>
      <w:divBdr>
        <w:top w:val="none" w:sz="0" w:space="0" w:color="auto"/>
        <w:left w:val="none" w:sz="0" w:space="0" w:color="auto"/>
        <w:bottom w:val="none" w:sz="0" w:space="0" w:color="auto"/>
        <w:right w:val="none" w:sz="0" w:space="0" w:color="auto"/>
      </w:divBdr>
      <w:divsChild>
        <w:div w:id="2099986812">
          <w:marLeft w:val="0"/>
          <w:marRight w:val="0"/>
          <w:marTop w:val="0"/>
          <w:marBottom w:val="0"/>
          <w:divBdr>
            <w:top w:val="none" w:sz="0" w:space="0" w:color="auto"/>
            <w:left w:val="none" w:sz="0" w:space="0" w:color="auto"/>
            <w:bottom w:val="none" w:sz="0" w:space="0" w:color="auto"/>
            <w:right w:val="none" w:sz="0" w:space="0" w:color="auto"/>
          </w:divBdr>
          <w:divsChild>
            <w:div w:id="250817158">
              <w:marLeft w:val="0"/>
              <w:marRight w:val="0"/>
              <w:marTop w:val="0"/>
              <w:marBottom w:val="0"/>
              <w:divBdr>
                <w:top w:val="none" w:sz="0" w:space="0" w:color="auto"/>
                <w:left w:val="none" w:sz="0" w:space="0" w:color="auto"/>
                <w:bottom w:val="none" w:sz="0" w:space="0" w:color="auto"/>
                <w:right w:val="none" w:sz="0" w:space="0" w:color="auto"/>
              </w:divBdr>
            </w:div>
          </w:divsChild>
        </w:div>
        <w:div w:id="1578974891">
          <w:marLeft w:val="0"/>
          <w:marRight w:val="0"/>
          <w:marTop w:val="0"/>
          <w:marBottom w:val="0"/>
          <w:divBdr>
            <w:top w:val="none" w:sz="0" w:space="0" w:color="auto"/>
            <w:left w:val="none" w:sz="0" w:space="0" w:color="auto"/>
            <w:bottom w:val="none" w:sz="0" w:space="0" w:color="auto"/>
            <w:right w:val="none" w:sz="0" w:space="0" w:color="auto"/>
          </w:divBdr>
          <w:divsChild>
            <w:div w:id="1365981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ansarada.com/business-exits/selling-a-busines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TotalTime>
  <Pages>4</Pages>
  <Words>1359</Words>
  <Characters>7748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2023-03-12T15:39:00Z</dcterms:created>
  <dcterms:modified xsi:type="dcterms:W3CDTF">2023-04-25T15:11:00Z</dcterms:modified>
</cp:coreProperties>
</file>