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0F7" w:rsidRPr="004418DA" w:rsidRDefault="008830F7" w:rsidP="004418DA">
      <w:pPr>
        <w:spacing w:line="360" w:lineRule="auto"/>
        <w:jc w:val="center"/>
        <w:rPr>
          <w:rFonts w:ascii="Times New Roman" w:hAnsi="Times New Roman" w:cs="Times New Roman"/>
          <w:b/>
          <w:sz w:val="28"/>
          <w:szCs w:val="28"/>
        </w:rPr>
      </w:pPr>
      <w:r w:rsidRPr="004418DA">
        <w:rPr>
          <w:rFonts w:ascii="Times New Roman" w:hAnsi="Times New Roman" w:cs="Times New Roman"/>
          <w:b/>
          <w:sz w:val="28"/>
          <w:szCs w:val="28"/>
        </w:rPr>
        <w:t>Unit 3</w:t>
      </w:r>
      <w:r w:rsidR="00626BB0" w:rsidRPr="004418DA">
        <w:rPr>
          <w:rFonts w:ascii="Times New Roman" w:hAnsi="Times New Roman" w:cs="Times New Roman"/>
          <w:b/>
          <w:sz w:val="28"/>
          <w:szCs w:val="28"/>
        </w:rPr>
        <w:t xml:space="preserve"> </w:t>
      </w:r>
      <w:r w:rsidRPr="004418DA">
        <w:rPr>
          <w:rFonts w:ascii="Times New Roman" w:hAnsi="Times New Roman" w:cs="Times New Roman"/>
          <w:b/>
          <w:sz w:val="28"/>
          <w:szCs w:val="28"/>
        </w:rPr>
        <w:t>Global Equity Markets</w:t>
      </w:r>
    </w:p>
    <w:p w:rsidR="00C442C7" w:rsidRPr="004418DA" w:rsidRDefault="00C442C7" w:rsidP="004418DA">
      <w:pPr>
        <w:spacing w:line="360" w:lineRule="auto"/>
        <w:jc w:val="both"/>
        <w:rPr>
          <w:rFonts w:ascii="Times New Roman" w:hAnsi="Times New Roman" w:cs="Times New Roman"/>
          <w:b/>
          <w:sz w:val="24"/>
          <w:szCs w:val="24"/>
        </w:rPr>
      </w:pPr>
      <w:r w:rsidRPr="004418DA">
        <w:rPr>
          <w:rFonts w:ascii="Times New Roman" w:hAnsi="Times New Roman" w:cs="Times New Roman"/>
          <w:b/>
          <w:sz w:val="24"/>
          <w:szCs w:val="24"/>
        </w:rPr>
        <w:t>Topics covered in the Unit are:</w:t>
      </w:r>
    </w:p>
    <w:p w:rsidR="008830F7" w:rsidRPr="004418DA" w:rsidRDefault="008830F7"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Global Equity Markets-Recent Trends</w:t>
      </w:r>
    </w:p>
    <w:p w:rsidR="008830F7" w:rsidRPr="004418DA" w:rsidRDefault="008830F7"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Major Stock Markets of the World</w:t>
      </w:r>
    </w:p>
    <w:p w:rsidR="008830F7" w:rsidRPr="004418DA" w:rsidRDefault="008830F7"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Emerging Stock Markets</w:t>
      </w:r>
    </w:p>
    <w:p w:rsidR="008830F7" w:rsidRPr="004418DA" w:rsidRDefault="008830F7"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International Equity trading</w:t>
      </w:r>
    </w:p>
    <w:p w:rsidR="008830F7" w:rsidRPr="004418DA" w:rsidRDefault="008830F7"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Multiple Listing</w:t>
      </w:r>
      <w:r w:rsidR="00626BB0" w:rsidRPr="004418DA">
        <w:rPr>
          <w:rFonts w:ascii="Times New Roman" w:hAnsi="Times New Roman" w:cs="Times New Roman"/>
          <w:sz w:val="24"/>
          <w:szCs w:val="24"/>
        </w:rPr>
        <w:t xml:space="preserve">, </w:t>
      </w:r>
      <w:r w:rsidR="00FD5AE4" w:rsidRPr="004418DA">
        <w:rPr>
          <w:rFonts w:ascii="Times New Roman" w:hAnsi="Times New Roman" w:cs="Times New Roman"/>
          <w:sz w:val="24"/>
          <w:szCs w:val="24"/>
        </w:rPr>
        <w:t>Depository Recei</w:t>
      </w:r>
      <w:r w:rsidRPr="004418DA">
        <w:rPr>
          <w:rFonts w:ascii="Times New Roman" w:hAnsi="Times New Roman" w:cs="Times New Roman"/>
          <w:sz w:val="24"/>
          <w:szCs w:val="24"/>
        </w:rPr>
        <w:t>pts (GDR</w:t>
      </w:r>
      <w:proofErr w:type="gramStart"/>
      <w:r w:rsidRPr="004418DA">
        <w:rPr>
          <w:rFonts w:ascii="Times New Roman" w:hAnsi="Times New Roman" w:cs="Times New Roman"/>
          <w:sz w:val="24"/>
          <w:szCs w:val="24"/>
        </w:rPr>
        <w:t>,</w:t>
      </w:r>
      <w:r w:rsidR="00626BB0" w:rsidRPr="004418DA">
        <w:rPr>
          <w:rFonts w:ascii="Times New Roman" w:hAnsi="Times New Roman" w:cs="Times New Roman"/>
          <w:sz w:val="24"/>
          <w:szCs w:val="24"/>
        </w:rPr>
        <w:t>ADR</w:t>
      </w:r>
      <w:proofErr w:type="gramEnd"/>
      <w:r w:rsidR="00626BB0" w:rsidRPr="004418DA">
        <w:rPr>
          <w:rFonts w:ascii="Times New Roman" w:hAnsi="Times New Roman" w:cs="Times New Roman"/>
          <w:sz w:val="24"/>
          <w:szCs w:val="24"/>
        </w:rPr>
        <w:t xml:space="preserve"> &amp;IDR)</w:t>
      </w:r>
    </w:p>
    <w:p w:rsidR="00A66B77" w:rsidRPr="004418DA" w:rsidRDefault="00A66B77" w:rsidP="004418DA">
      <w:pPr>
        <w:spacing w:line="360" w:lineRule="auto"/>
        <w:jc w:val="both"/>
        <w:rPr>
          <w:rFonts w:ascii="Times New Roman" w:hAnsi="Times New Roman" w:cs="Times New Roman"/>
          <w:b/>
          <w:sz w:val="24"/>
          <w:szCs w:val="24"/>
        </w:rPr>
      </w:pPr>
      <w:r w:rsidRPr="004418DA">
        <w:rPr>
          <w:rFonts w:ascii="Times New Roman" w:hAnsi="Times New Roman" w:cs="Times New Roman"/>
          <w:b/>
          <w:sz w:val="24"/>
          <w:szCs w:val="24"/>
        </w:rPr>
        <w:t>Introduction</w:t>
      </w:r>
    </w:p>
    <w:p w:rsidR="00FD5AE4" w:rsidRPr="004418DA" w:rsidRDefault="00FD5AE4" w:rsidP="004418DA">
      <w:pPr>
        <w:spacing w:line="360" w:lineRule="auto"/>
        <w:jc w:val="both"/>
        <w:rPr>
          <w:rFonts w:ascii="Times New Roman" w:eastAsia="Times New Roman" w:hAnsi="Times New Roman" w:cs="Times New Roman"/>
          <w:i/>
          <w:iCs/>
          <w:color w:val="212121"/>
          <w:sz w:val="24"/>
          <w:szCs w:val="24"/>
          <w:lang w:eastAsia="en-IN"/>
        </w:rPr>
      </w:pPr>
      <w:r w:rsidRPr="004418DA">
        <w:rPr>
          <w:rFonts w:ascii="Times New Roman" w:eastAsia="Times New Roman" w:hAnsi="Times New Roman" w:cs="Times New Roman"/>
          <w:iCs/>
          <w:color w:val="212121"/>
          <w:sz w:val="24"/>
          <w:szCs w:val="24"/>
          <w:lang w:eastAsia="en-IN"/>
        </w:rPr>
        <w:t>The equity market refers to the platform where companies issue shares for sale and investors buy them, helping the former raise capital for enhancing business growth and opportunities. It gives the investors a proportionate stake in the company; hence, they gain ownership of the firm through the shares they purchase</w:t>
      </w:r>
      <w:r w:rsidRPr="004418DA">
        <w:rPr>
          <w:rFonts w:ascii="Times New Roman" w:eastAsia="Times New Roman" w:hAnsi="Times New Roman" w:cs="Times New Roman"/>
          <w:i/>
          <w:iCs/>
          <w:color w:val="212121"/>
          <w:sz w:val="24"/>
          <w:szCs w:val="24"/>
          <w:lang w:eastAsia="en-IN"/>
        </w:rPr>
        <w:t>.</w:t>
      </w:r>
    </w:p>
    <w:p w:rsidR="00626BB0" w:rsidRPr="004418DA" w:rsidRDefault="00FD5AE4" w:rsidP="004418DA">
      <w:pPr>
        <w:spacing w:line="360" w:lineRule="auto"/>
        <w:jc w:val="both"/>
        <w:rPr>
          <w:rFonts w:ascii="Times New Roman" w:hAnsi="Times New Roman" w:cs="Times New Roman"/>
          <w:color w:val="000000"/>
          <w:sz w:val="24"/>
          <w:szCs w:val="24"/>
          <w:shd w:val="clear" w:color="auto" w:fill="FFFFFF"/>
        </w:rPr>
      </w:pPr>
      <w:r w:rsidRPr="004418DA">
        <w:rPr>
          <w:rFonts w:ascii="Times New Roman" w:hAnsi="Times New Roman" w:cs="Times New Roman"/>
          <w:b/>
          <w:color w:val="000000"/>
          <w:sz w:val="24"/>
          <w:szCs w:val="24"/>
          <w:shd w:val="clear" w:color="auto" w:fill="FFFFFF"/>
        </w:rPr>
        <w:t>International equity markets</w:t>
      </w:r>
      <w:r w:rsidRPr="004418DA">
        <w:rPr>
          <w:rFonts w:ascii="Times New Roman" w:hAnsi="Times New Roman" w:cs="Times New Roman"/>
          <w:color w:val="000000"/>
          <w:sz w:val="24"/>
          <w:szCs w:val="24"/>
          <w:shd w:val="clear" w:color="auto" w:fill="FFFFFF"/>
        </w:rPr>
        <w:t xml:space="preserve"> are an important platform for global finance. They not only ensure the participation of a wide variety of participants but also offer global economies to prosper.</w:t>
      </w:r>
    </w:p>
    <w:p w:rsidR="00FD5AE4" w:rsidRPr="004418DA" w:rsidRDefault="00FD5AE4" w:rsidP="004418DA">
      <w:pPr>
        <w:spacing w:before="100" w:beforeAutospacing="1" w:after="100" w:afterAutospacing="1" w:line="360" w:lineRule="auto"/>
        <w:jc w:val="both"/>
        <w:outlineLvl w:val="1"/>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Trading In International Equities</w:t>
      </w:r>
    </w:p>
    <w:p w:rsidR="00FD5AE4" w:rsidRPr="004418DA" w:rsidRDefault="00FD5AE4" w:rsidP="004418DA">
      <w:pPr>
        <w:spacing w:before="120" w:after="144" w:line="360" w:lineRule="auto"/>
        <w:jc w:val="both"/>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A greater global integration of capital markets became apparent for various reasons −</w:t>
      </w:r>
    </w:p>
    <w:p w:rsidR="00FD5AE4" w:rsidRPr="004418DA" w:rsidRDefault="00FD5AE4" w:rsidP="004418DA">
      <w:pPr>
        <w:numPr>
          <w:ilvl w:val="0"/>
          <w:numId w:val="1"/>
        </w:numPr>
        <w:spacing w:after="0" w:line="360" w:lineRule="auto"/>
        <w:ind w:left="675"/>
        <w:jc w:val="both"/>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First, investors understood the good effects of international trade.</w:t>
      </w:r>
    </w:p>
    <w:p w:rsidR="00FD5AE4" w:rsidRPr="004418DA" w:rsidRDefault="00FD5AE4" w:rsidP="004418DA">
      <w:pPr>
        <w:numPr>
          <w:ilvl w:val="0"/>
          <w:numId w:val="1"/>
        </w:numPr>
        <w:spacing w:after="0" w:line="360" w:lineRule="auto"/>
        <w:ind w:left="675"/>
        <w:jc w:val="both"/>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Second, the prominent capital markets got more liberalized through the elimination of fixed trading commissions.</w:t>
      </w:r>
    </w:p>
    <w:p w:rsidR="00FD5AE4" w:rsidRPr="004418DA" w:rsidRDefault="00FD5AE4" w:rsidP="004418DA">
      <w:pPr>
        <w:numPr>
          <w:ilvl w:val="0"/>
          <w:numId w:val="1"/>
        </w:numPr>
        <w:spacing w:after="0" w:line="360" w:lineRule="auto"/>
        <w:ind w:left="675"/>
        <w:jc w:val="both"/>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Third, internet and information and communication technology facilitated efficient and fair trading in international stocks.</w:t>
      </w:r>
    </w:p>
    <w:p w:rsidR="00FD5AE4" w:rsidRPr="004418DA" w:rsidRDefault="00FD5AE4" w:rsidP="004418DA">
      <w:pPr>
        <w:numPr>
          <w:ilvl w:val="0"/>
          <w:numId w:val="1"/>
        </w:numPr>
        <w:spacing w:after="0" w:line="360" w:lineRule="auto"/>
        <w:ind w:left="675"/>
        <w:jc w:val="both"/>
        <w:rPr>
          <w:rFonts w:ascii="Times New Roman" w:eastAsia="Times New Roman" w:hAnsi="Times New Roman" w:cs="Times New Roman"/>
          <w:color w:val="000000"/>
          <w:sz w:val="24"/>
          <w:szCs w:val="24"/>
          <w:lang w:eastAsia="en-IN"/>
        </w:rPr>
      </w:pPr>
      <w:r w:rsidRPr="004418DA">
        <w:rPr>
          <w:rFonts w:ascii="Times New Roman" w:eastAsia="Times New Roman" w:hAnsi="Times New Roman" w:cs="Times New Roman"/>
          <w:color w:val="000000"/>
          <w:sz w:val="24"/>
          <w:szCs w:val="24"/>
          <w:lang w:eastAsia="en-IN"/>
        </w:rPr>
        <w:t>Fourth, the MNCs understood the advantages of sourcing new capital internationally.</w:t>
      </w:r>
    </w:p>
    <w:p w:rsidR="00FD5AE4" w:rsidRPr="004418DA" w:rsidRDefault="00FD5AE4" w:rsidP="004418DA">
      <w:pPr>
        <w:pStyle w:val="Heading3"/>
        <w:pBdr>
          <w:bottom w:val="single" w:sz="12" w:space="8" w:color="2154CF"/>
        </w:pBdr>
        <w:shd w:val="clear" w:color="auto" w:fill="FFFFFF"/>
        <w:spacing w:before="0" w:after="150" w:line="360" w:lineRule="auto"/>
        <w:jc w:val="both"/>
        <w:rPr>
          <w:rFonts w:ascii="Times New Roman" w:hAnsi="Times New Roman" w:cs="Times New Roman"/>
          <w:color w:val="373737"/>
        </w:rPr>
      </w:pPr>
      <w:r w:rsidRPr="004418DA">
        <w:rPr>
          <w:rStyle w:val="Strong"/>
          <w:rFonts w:ascii="Times New Roman" w:hAnsi="Times New Roman" w:cs="Times New Roman"/>
          <w:bCs w:val="0"/>
          <w:color w:val="373737"/>
        </w:rPr>
        <w:t>An Overview of International Equity Market</w:t>
      </w:r>
      <w:r w:rsidRPr="004418DA">
        <w:rPr>
          <w:rStyle w:val="Strong"/>
          <w:rFonts w:ascii="Times New Roman" w:hAnsi="Times New Roman" w:cs="Times New Roman"/>
          <w:b w:val="0"/>
          <w:bCs w:val="0"/>
          <w:color w:val="373737"/>
        </w:rPr>
        <w:t>:</w:t>
      </w:r>
    </w:p>
    <w:p w:rsidR="005A1E2F" w:rsidRPr="004418DA" w:rsidRDefault="005A1E2F" w:rsidP="004418DA">
      <w:pPr>
        <w:pStyle w:val="ListParagraph"/>
        <w:numPr>
          <w:ilvl w:val="0"/>
          <w:numId w:val="1"/>
        </w:numPr>
        <w:shd w:val="clear" w:color="auto" w:fill="FFFFFF"/>
        <w:spacing w:after="150"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 xml:space="preserve">An international equity market is an important source of global finance. One way, this type of international market ensures the involvement of a wide variety of contributors, on the other way; it also makes processes for global economies to prosper. Market </w:t>
      </w:r>
      <w:r w:rsidRPr="004418DA">
        <w:rPr>
          <w:rFonts w:ascii="Times New Roman" w:eastAsia="Times New Roman" w:hAnsi="Times New Roman" w:cs="Times New Roman"/>
          <w:color w:val="373737"/>
          <w:sz w:val="24"/>
          <w:szCs w:val="24"/>
          <w:lang w:eastAsia="en-IN"/>
        </w:rPr>
        <w:lastRenderedPageBreak/>
        <w:t>valuations and turnovers are two important tools for assessing the economic status of international equity market. Students also learn how these markets are created and the essential elements that govern them.</w:t>
      </w:r>
    </w:p>
    <w:p w:rsidR="005A1E2F" w:rsidRPr="004418DA" w:rsidRDefault="005A1E2F" w:rsidP="004418DA">
      <w:pPr>
        <w:pStyle w:val="ListParagraph"/>
        <w:numPr>
          <w:ilvl w:val="0"/>
          <w:numId w:val="1"/>
        </w:numPr>
        <w:shd w:val="clear" w:color="auto" w:fill="FFFFFF"/>
        <w:spacing w:after="150"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International equity funds are not same as global equity funds. Global equity funds are made up of stocks of companies anywhere. There are two categories of international equity funds: those that invest in developed countries, like the USA and UK, and those that invest in developing markets, like India and Brazil. Developing or emerging markets are countries, which are still at developing stages but showing a lot of potential for growth. But, most of these countries or their markets are not intensively regulated, hence, investing there is not free from risk. With higher risk, often arises larger potential return on investment</w:t>
      </w:r>
    </w:p>
    <w:p w:rsidR="00A66B77" w:rsidRPr="004418DA" w:rsidRDefault="00A66B77" w:rsidP="004418DA">
      <w:pPr>
        <w:pStyle w:val="Heading3"/>
        <w:pBdr>
          <w:bottom w:val="single" w:sz="12" w:space="8" w:color="2154CF"/>
        </w:pBdr>
        <w:shd w:val="clear" w:color="auto" w:fill="FFFFFF"/>
        <w:spacing w:before="0" w:after="150" w:line="360" w:lineRule="auto"/>
        <w:jc w:val="both"/>
        <w:rPr>
          <w:rStyle w:val="Strong"/>
          <w:rFonts w:ascii="Times New Roman" w:hAnsi="Times New Roman" w:cs="Times New Roman"/>
          <w:b w:val="0"/>
          <w:bCs w:val="0"/>
          <w:color w:val="373737"/>
        </w:rPr>
      </w:pPr>
    </w:p>
    <w:p w:rsidR="005A1E2F" w:rsidRPr="004418DA" w:rsidRDefault="005A1E2F" w:rsidP="004418DA">
      <w:pPr>
        <w:pStyle w:val="Heading3"/>
        <w:pBdr>
          <w:bottom w:val="single" w:sz="12" w:space="8" w:color="2154CF"/>
        </w:pBdr>
        <w:shd w:val="clear" w:color="auto" w:fill="FFFFFF"/>
        <w:spacing w:before="0" w:after="150" w:line="360" w:lineRule="auto"/>
        <w:jc w:val="both"/>
        <w:rPr>
          <w:rFonts w:ascii="Times New Roman" w:hAnsi="Times New Roman" w:cs="Times New Roman"/>
          <w:color w:val="373737"/>
        </w:rPr>
      </w:pPr>
      <w:r w:rsidRPr="004418DA">
        <w:rPr>
          <w:rStyle w:val="Strong"/>
          <w:rFonts w:ascii="Times New Roman" w:hAnsi="Times New Roman" w:cs="Times New Roman"/>
          <w:bCs w:val="0"/>
          <w:color w:val="373737"/>
        </w:rPr>
        <w:t>Risk of Investing In International Equities</w:t>
      </w:r>
    </w:p>
    <w:p w:rsidR="005A1E2F" w:rsidRPr="004418DA" w:rsidRDefault="005A1E2F" w:rsidP="004418DA">
      <w:pPr>
        <w:shd w:val="clear" w:color="auto" w:fill="FFFFFF"/>
        <w:spacing w:after="150"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There are several risks associated with international equity markets –</w:t>
      </w:r>
    </w:p>
    <w:p w:rsidR="005A1E2F" w:rsidRPr="004418DA" w:rsidRDefault="005A1E2F" w:rsidP="004418D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b/>
          <w:bCs/>
          <w:color w:val="373737"/>
          <w:sz w:val="24"/>
          <w:szCs w:val="24"/>
          <w:lang w:eastAsia="en-IN"/>
        </w:rPr>
        <w:t>Currency risk</w:t>
      </w:r>
      <w:r w:rsidRPr="004418DA">
        <w:rPr>
          <w:rFonts w:ascii="Times New Roman" w:eastAsia="Times New Roman" w:hAnsi="Times New Roman" w:cs="Times New Roman"/>
          <w:color w:val="373737"/>
          <w:sz w:val="24"/>
          <w:szCs w:val="24"/>
          <w:lang w:eastAsia="en-IN"/>
        </w:rPr>
        <w:t> – The value of dollar may differ from the value of the currencies of those countries where the fund is invested. The return on investment fluctuates due to this reason. When the dollar is weaker in the market, the return will be pretty impressive regardless of how the investments are performing. On the other hand, when the dollar is strong in the international market, the effect may be opposite.</w:t>
      </w:r>
    </w:p>
    <w:p w:rsidR="005A1E2F" w:rsidRPr="004418DA" w:rsidRDefault="005A1E2F" w:rsidP="004418D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b/>
          <w:bCs/>
          <w:color w:val="373737"/>
          <w:sz w:val="24"/>
          <w:szCs w:val="24"/>
          <w:lang w:eastAsia="en-IN"/>
        </w:rPr>
        <w:t>Liquidity risk</w:t>
      </w:r>
      <w:r w:rsidRPr="004418DA">
        <w:rPr>
          <w:rFonts w:ascii="Times New Roman" w:eastAsia="Times New Roman" w:hAnsi="Times New Roman" w:cs="Times New Roman"/>
          <w:color w:val="373737"/>
          <w:sz w:val="24"/>
          <w:szCs w:val="24"/>
          <w:lang w:eastAsia="en-IN"/>
        </w:rPr>
        <w:t> – The US stock market is fairly liquid in comparison to other stick markets. A large volume of stocks is traded her every day. The foreign market is comparatively less liquid than the US market. As a result, a seller in other markets may have to wait for a long time for a buyer, which means a loss to a trader belonging to the US market.</w:t>
      </w:r>
    </w:p>
    <w:p w:rsidR="005A1E2F" w:rsidRPr="004418DA" w:rsidRDefault="005A1E2F" w:rsidP="004418D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b/>
          <w:bCs/>
          <w:color w:val="373737"/>
          <w:sz w:val="24"/>
          <w:szCs w:val="24"/>
          <w:lang w:eastAsia="en-IN"/>
        </w:rPr>
        <w:t>Political risk</w:t>
      </w:r>
      <w:r w:rsidRPr="004418DA">
        <w:rPr>
          <w:rFonts w:ascii="Times New Roman" w:eastAsia="Times New Roman" w:hAnsi="Times New Roman" w:cs="Times New Roman"/>
          <w:color w:val="373737"/>
          <w:sz w:val="24"/>
          <w:szCs w:val="24"/>
          <w:lang w:eastAsia="en-IN"/>
        </w:rPr>
        <w:t> – Political environment always influence a stock market in every country. In-stable government may lead to poor performance of a stock. This is a problem in many developing countries.</w:t>
      </w:r>
    </w:p>
    <w:p w:rsidR="005A1E2F" w:rsidRPr="004418DA" w:rsidRDefault="005A1E2F" w:rsidP="004418DA">
      <w:pPr>
        <w:shd w:val="clear" w:color="auto" w:fill="FFFFFF"/>
        <w:spacing w:after="150"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222222"/>
          <w:sz w:val="24"/>
          <w:szCs w:val="24"/>
          <w:shd w:val="clear" w:color="auto" w:fill="FFFFFF"/>
          <w:lang w:eastAsia="en-IN"/>
        </w:rPr>
        <w:t>Among these, the currency risk or exchange rate fluctuations are considered as the most obvious risk in international equity market. Different models are proposed by the experts to assess the risk involved in international equity market due to exchange rate fluctuations. Some of these models are as follows –</w:t>
      </w:r>
    </w:p>
    <w:p w:rsidR="005A1E2F" w:rsidRPr="004418DA" w:rsidRDefault="005A1E2F" w:rsidP="004418DA">
      <w:pPr>
        <w:numPr>
          <w:ilvl w:val="0"/>
          <w:numId w:val="3"/>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lastRenderedPageBreak/>
        <w:t>Purchasing power parity model</w:t>
      </w:r>
    </w:p>
    <w:p w:rsidR="005A1E2F" w:rsidRPr="004418DA" w:rsidRDefault="005A1E2F" w:rsidP="004418DA">
      <w:pPr>
        <w:numPr>
          <w:ilvl w:val="0"/>
          <w:numId w:val="3"/>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Relative economic strength model</w:t>
      </w:r>
    </w:p>
    <w:p w:rsidR="005A1E2F" w:rsidRPr="004418DA" w:rsidRDefault="005A1E2F" w:rsidP="004418DA">
      <w:pPr>
        <w:numPr>
          <w:ilvl w:val="0"/>
          <w:numId w:val="3"/>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Time series model</w:t>
      </w:r>
    </w:p>
    <w:p w:rsidR="005A1E2F" w:rsidRPr="004418DA" w:rsidRDefault="005A1E2F" w:rsidP="004418DA">
      <w:pPr>
        <w:numPr>
          <w:ilvl w:val="0"/>
          <w:numId w:val="3"/>
        </w:numPr>
        <w:shd w:val="clear" w:color="auto" w:fill="FFFFFF"/>
        <w:spacing w:before="100" w:beforeAutospacing="1" w:after="100" w:afterAutospacing="1" w:line="360" w:lineRule="auto"/>
        <w:jc w:val="both"/>
        <w:rPr>
          <w:rFonts w:ascii="Times New Roman" w:eastAsia="Times New Roman" w:hAnsi="Times New Roman" w:cs="Times New Roman"/>
          <w:color w:val="373737"/>
          <w:sz w:val="24"/>
          <w:szCs w:val="24"/>
          <w:lang w:eastAsia="en-IN"/>
        </w:rPr>
      </w:pPr>
      <w:r w:rsidRPr="004418DA">
        <w:rPr>
          <w:rFonts w:ascii="Times New Roman" w:eastAsia="Times New Roman" w:hAnsi="Times New Roman" w:cs="Times New Roman"/>
          <w:color w:val="373737"/>
          <w:sz w:val="24"/>
          <w:szCs w:val="24"/>
          <w:lang w:eastAsia="en-IN"/>
        </w:rPr>
        <w:t>Econometric models</w:t>
      </w:r>
    </w:p>
    <w:p w:rsidR="005A1E2F" w:rsidRPr="004418DA" w:rsidRDefault="005A1E2F" w:rsidP="004418DA">
      <w:pPr>
        <w:numPr>
          <w:ilvl w:val="0"/>
          <w:numId w:val="1"/>
        </w:numPr>
        <w:shd w:val="clear" w:color="auto" w:fill="FFFFFF"/>
        <w:spacing w:after="0" w:line="360" w:lineRule="auto"/>
        <w:jc w:val="both"/>
        <w:rPr>
          <w:rFonts w:ascii="Times New Roman" w:eastAsia="Times New Roman" w:hAnsi="Times New Roman" w:cs="Times New Roman"/>
          <w:b/>
          <w:color w:val="111111"/>
          <w:sz w:val="24"/>
          <w:szCs w:val="24"/>
          <w:lang w:eastAsia="en-IN"/>
        </w:rPr>
      </w:pPr>
      <w:r w:rsidRPr="004418DA">
        <w:rPr>
          <w:rFonts w:ascii="Times New Roman" w:eastAsia="Times New Roman" w:hAnsi="Times New Roman" w:cs="Times New Roman"/>
          <w:b/>
          <w:color w:val="111111"/>
          <w:sz w:val="24"/>
          <w:szCs w:val="24"/>
          <w:lang w:eastAsia="en-IN"/>
        </w:rPr>
        <w:t>Remember, equity is just a fancier word for a share.</w:t>
      </w:r>
    </w:p>
    <w:p w:rsidR="00A66B77" w:rsidRPr="004418DA" w:rsidRDefault="005A1E2F" w:rsidP="004418DA">
      <w:pPr>
        <w:numPr>
          <w:ilvl w:val="0"/>
          <w:numId w:val="1"/>
        </w:numPr>
        <w:shd w:val="clear" w:color="auto" w:fill="FFFFFF"/>
        <w:spacing w:after="0" w:line="360" w:lineRule="auto"/>
        <w:jc w:val="both"/>
        <w:rPr>
          <w:rFonts w:ascii="Times New Roman" w:eastAsia="Times New Roman" w:hAnsi="Times New Roman" w:cs="Times New Roman"/>
          <w:b/>
          <w:color w:val="111111"/>
          <w:sz w:val="24"/>
          <w:szCs w:val="24"/>
          <w:lang w:eastAsia="en-IN"/>
        </w:rPr>
      </w:pPr>
      <w:r w:rsidRPr="004418DA">
        <w:rPr>
          <w:rFonts w:ascii="Times New Roman" w:eastAsia="Times New Roman" w:hAnsi="Times New Roman" w:cs="Times New Roman"/>
          <w:b/>
          <w:color w:val="111111"/>
          <w:sz w:val="24"/>
          <w:szCs w:val="24"/>
          <w:lang w:eastAsia="en-IN"/>
        </w:rPr>
        <w:t>Global equities are the shares of all the different listed companies around the world.</w:t>
      </w:r>
    </w:p>
    <w:p w:rsidR="00A66B77" w:rsidRPr="004418DA" w:rsidRDefault="00A66B77" w:rsidP="004418DA">
      <w:pPr>
        <w:shd w:val="clear" w:color="auto" w:fill="FFFFFF"/>
        <w:spacing w:after="0" w:line="360" w:lineRule="auto"/>
        <w:jc w:val="both"/>
        <w:rPr>
          <w:rFonts w:ascii="Times New Roman" w:eastAsia="Times New Roman" w:hAnsi="Times New Roman" w:cs="Times New Roman"/>
          <w:b/>
          <w:color w:val="111111"/>
          <w:sz w:val="24"/>
          <w:szCs w:val="24"/>
          <w:lang w:eastAsia="en-IN"/>
        </w:rPr>
      </w:pPr>
    </w:p>
    <w:p w:rsidR="00A66B77" w:rsidRPr="004418DA" w:rsidRDefault="00A66B77" w:rsidP="004418DA">
      <w:pPr>
        <w:shd w:val="clear" w:color="auto" w:fill="FFFFFF"/>
        <w:spacing w:after="0" w:line="360" w:lineRule="auto"/>
        <w:jc w:val="both"/>
        <w:rPr>
          <w:rFonts w:ascii="Times New Roman" w:eastAsia="Times New Roman" w:hAnsi="Times New Roman" w:cs="Times New Roman"/>
          <w:b/>
          <w:color w:val="111111"/>
          <w:sz w:val="24"/>
          <w:szCs w:val="24"/>
          <w:lang w:eastAsia="en-IN"/>
        </w:rPr>
      </w:pPr>
    </w:p>
    <w:p w:rsidR="00A66B77" w:rsidRPr="004418DA" w:rsidRDefault="00A66B77" w:rsidP="004418DA">
      <w:pPr>
        <w:pStyle w:val="ListParagraph"/>
        <w:spacing w:line="360" w:lineRule="auto"/>
        <w:jc w:val="both"/>
        <w:rPr>
          <w:rFonts w:ascii="Times New Roman" w:hAnsi="Times New Roman" w:cs="Times New Roman"/>
          <w:b/>
          <w:sz w:val="24"/>
          <w:szCs w:val="24"/>
        </w:rPr>
      </w:pPr>
      <w:r w:rsidRPr="004418DA">
        <w:rPr>
          <w:rFonts w:ascii="Times New Roman" w:hAnsi="Times New Roman" w:cs="Times New Roman"/>
          <w:b/>
          <w:sz w:val="24"/>
          <w:szCs w:val="24"/>
        </w:rPr>
        <w:t>Major Stock Markets of the World:</w:t>
      </w:r>
    </w:p>
    <w:p w:rsidR="0002713C" w:rsidRPr="004418DA" w:rsidRDefault="0002713C" w:rsidP="004418DA">
      <w:pPr>
        <w:spacing w:line="360" w:lineRule="auto"/>
        <w:jc w:val="both"/>
        <w:rPr>
          <w:rFonts w:ascii="Times New Roman" w:hAnsi="Times New Roman" w:cs="Times New Roman"/>
          <w:b/>
          <w:sz w:val="24"/>
          <w:szCs w:val="24"/>
        </w:rPr>
      </w:pPr>
      <w:r w:rsidRPr="004418DA">
        <w:rPr>
          <w:rFonts w:ascii="Times New Roman" w:hAnsi="Times New Roman" w:cs="Times New Roman"/>
          <w:b/>
          <w:color w:val="1E1A1A"/>
          <w:sz w:val="24"/>
          <w:szCs w:val="24"/>
        </w:rPr>
        <w:t>New York Stock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The New York Stock Exchange (NYSE) is located on Wall Street in New York. It was founded in 1817, but it didn’t operate under the NYSE name until 1963. The New York Stock Exchange Group had a turbulent road to its top spot, with infamous events such as the Wall Street Crash in 1929 and Black Tuesday in 1987. But it has remained the largest stock exchange in the world by market capitalisation ever since the end of World War I, when it overtook the London Stock Exchange. In 2012, the NYSE was taken over by an American futures exchange group, Intercontinental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The New York Stock Exchange’s market capitalisation was $23.12 trillion in March 2018 – this is nearly 40% of the total world stock market value. There are over 2400 companies listed on the New York Stock Exchange, which span sectors such as finance, healthcare, consumer goods and energy. Some of its more famous companies include </w:t>
      </w:r>
      <w:hyperlink r:id="rId5" w:history="1">
        <w:r w:rsidRPr="004418DA">
          <w:rPr>
            <w:rStyle w:val="Hyperlink"/>
            <w:rFonts w:eastAsiaTheme="majorEastAsia"/>
            <w:color w:val="3987CC"/>
          </w:rPr>
          <w:t>Exxon Mobil Corp (XOM)</w:t>
        </w:r>
      </w:hyperlink>
      <w:r w:rsidRPr="004418DA">
        <w:rPr>
          <w:color w:val="1E1A1A"/>
        </w:rPr>
        <w:t>, </w:t>
      </w:r>
      <w:hyperlink r:id="rId6" w:history="1">
        <w:r w:rsidRPr="004418DA">
          <w:rPr>
            <w:rStyle w:val="Hyperlink"/>
            <w:rFonts w:eastAsiaTheme="majorEastAsia"/>
            <w:color w:val="3987CC"/>
          </w:rPr>
          <w:t xml:space="preserve">Citigroup </w:t>
        </w:r>
        <w:proofErr w:type="spellStart"/>
        <w:r w:rsidRPr="004418DA">
          <w:rPr>
            <w:rStyle w:val="Hyperlink"/>
            <w:rFonts w:eastAsiaTheme="majorEastAsia"/>
            <w:color w:val="3987CC"/>
          </w:rPr>
          <w:t>Inc</w:t>
        </w:r>
        <w:proofErr w:type="spellEnd"/>
        <w:r w:rsidRPr="004418DA">
          <w:rPr>
            <w:rStyle w:val="Hyperlink"/>
            <w:rFonts w:eastAsiaTheme="majorEastAsia"/>
            <w:color w:val="3987CC"/>
          </w:rPr>
          <w:t xml:space="preserve"> (C)</w:t>
        </w:r>
      </w:hyperlink>
      <w:r w:rsidRPr="004418DA">
        <w:rPr>
          <w:color w:val="1E1A1A"/>
        </w:rPr>
        <w:t> and </w:t>
      </w:r>
      <w:hyperlink r:id="rId7" w:history="1">
        <w:r w:rsidRPr="004418DA">
          <w:rPr>
            <w:rStyle w:val="Hyperlink"/>
            <w:rFonts w:eastAsiaTheme="majorEastAsia"/>
            <w:color w:val="3987CC"/>
          </w:rPr>
          <w:t xml:space="preserve">Pfizer </w:t>
        </w:r>
        <w:proofErr w:type="spellStart"/>
        <w:r w:rsidRPr="004418DA">
          <w:rPr>
            <w:rStyle w:val="Hyperlink"/>
            <w:rFonts w:eastAsiaTheme="majorEastAsia"/>
            <w:color w:val="3987CC"/>
          </w:rPr>
          <w:t>Inc</w:t>
        </w:r>
        <w:proofErr w:type="spellEnd"/>
        <w:r w:rsidRPr="004418DA">
          <w:rPr>
            <w:rStyle w:val="Hyperlink"/>
            <w:rFonts w:eastAsiaTheme="majorEastAsia"/>
            <w:color w:val="3987CC"/>
          </w:rPr>
          <w:t xml:space="preserve"> (GE)</w:t>
        </w:r>
      </w:hyperlink>
      <w:r w:rsidRPr="004418DA">
        <w:rPr>
          <w:color w:val="1E1A1A"/>
        </w:rPr>
        <w:t> – the </w:t>
      </w:r>
      <w:hyperlink r:id="rId8" w:history="1">
        <w:r w:rsidRPr="004418DA">
          <w:rPr>
            <w:rStyle w:val="Hyperlink"/>
            <w:rFonts w:eastAsiaTheme="majorEastAsia"/>
            <w:color w:val="3987CC"/>
          </w:rPr>
          <w:t>Dow Jones</w:t>
        </w:r>
      </w:hyperlink>
      <w:r w:rsidRPr="004418DA">
        <w:rPr>
          <w:color w:val="1E1A1A"/>
        </w:rPr>
        <w:t> is the most used index for tracking the value of the NYSE, but components can also be listed on the </w:t>
      </w:r>
      <w:hyperlink r:id="rId9" w:history="1">
        <w:r w:rsidRPr="004418DA">
          <w:rPr>
            <w:rStyle w:val="Hyperlink"/>
            <w:rFonts w:eastAsiaTheme="majorEastAsia"/>
            <w:color w:val="3987CC"/>
          </w:rPr>
          <w:t>NASDAQ</w:t>
        </w:r>
      </w:hyperlink>
      <w:r w:rsidRPr="004418DA">
        <w:rPr>
          <w:color w:val="1E1A1A"/>
        </w:rPr>
        <w:t>.</w:t>
      </w:r>
    </w:p>
    <w:p w:rsidR="0002713C" w:rsidRPr="004418DA" w:rsidRDefault="0002713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NASDAQ</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The NASDAQ stock exchange is also in New York, located in the famous Times Square. It stands for National Association of Securities Dealers Automated Quotations and was founded by a group of local stockbrokers in 1971. The NASDAQ is unusual in that it never operated on an open outcry system; instead it has always used a computer and telephone-based system of trading, which made it the first electronic stock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lastRenderedPageBreak/>
        <w:t>The NASDAQ market capitalisation reached $10.93 trillion in March 2018, which places it as the second largest stock exchange. However, it has the largest market capitalisation of technology stocks – some of the NASDAQ’s top listed companies include </w:t>
      </w:r>
      <w:hyperlink r:id="rId10" w:history="1">
        <w:r w:rsidRPr="004418DA">
          <w:rPr>
            <w:rStyle w:val="Hyperlink"/>
            <w:rFonts w:eastAsiaTheme="majorEastAsia"/>
            <w:color w:val="3987CC"/>
          </w:rPr>
          <w:t>Apple (APPL)</w:t>
        </w:r>
      </w:hyperlink>
      <w:r w:rsidRPr="004418DA">
        <w:rPr>
          <w:color w:val="1E1A1A"/>
        </w:rPr>
        <w:t>, </w:t>
      </w:r>
      <w:hyperlink r:id="rId11" w:history="1">
        <w:r w:rsidRPr="004418DA">
          <w:rPr>
            <w:rStyle w:val="Hyperlink"/>
            <w:rFonts w:eastAsiaTheme="majorEastAsia"/>
            <w:color w:val="3987CC"/>
          </w:rPr>
          <w:t>Microsoft (MSFT)</w:t>
        </w:r>
      </w:hyperlink>
      <w:r w:rsidRPr="004418DA">
        <w:rPr>
          <w:color w:val="1E1A1A"/>
        </w:rPr>
        <w:t>, </w:t>
      </w:r>
      <w:hyperlink r:id="rId12" w:history="1">
        <w:r w:rsidRPr="004418DA">
          <w:rPr>
            <w:rStyle w:val="Hyperlink"/>
            <w:rFonts w:eastAsiaTheme="majorEastAsia"/>
            <w:color w:val="3987CC"/>
          </w:rPr>
          <w:t>Facebook (FB)</w:t>
        </w:r>
      </w:hyperlink>
      <w:r w:rsidRPr="004418DA">
        <w:rPr>
          <w:color w:val="1E1A1A"/>
        </w:rPr>
        <w:t> and </w:t>
      </w:r>
      <w:hyperlink r:id="rId13" w:history="1">
        <w:r w:rsidRPr="004418DA">
          <w:rPr>
            <w:rStyle w:val="Hyperlink"/>
            <w:rFonts w:eastAsiaTheme="majorEastAsia"/>
            <w:color w:val="3987CC"/>
          </w:rPr>
          <w:t>Tesla (TSLA)</w:t>
        </w:r>
      </w:hyperlink>
      <w:r w:rsidRPr="004418DA">
        <w:rPr>
          <w:color w:val="1E1A1A"/>
        </w:rPr>
        <w:t>. The index used to measure the performance of the exchange is the Nasdaq 100.</w:t>
      </w:r>
    </w:p>
    <w:p w:rsidR="0002713C" w:rsidRPr="004418DA" w:rsidRDefault="003C47E2"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T</w:t>
      </w:r>
      <w:r w:rsidR="0002713C" w:rsidRPr="004418DA">
        <w:rPr>
          <w:bCs w:val="0"/>
          <w:color w:val="1E1A1A"/>
          <w:sz w:val="24"/>
          <w:szCs w:val="24"/>
        </w:rPr>
        <w:t>okyo Stock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The Tokyo Stock Exchange (TSE) was founded in 1878 and is the largest stock exchange in Japan. The TSE did face problems post World War II – and was even suspended between August 1945 and April 1949 – due to the country’s involvement in the war. It was rebranded in 1949, and is now commonly known under the name of its owner: Japan Exchange Group. The group was formed in the merger between the Osaka Securities Stock Exchange and the TSE in 2013. The Tokyo Stock Exchange now partners with other exchanges all over the world, including the London Stock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Today, there are over 3575 companies listed on the Tokyo Stock Exchange, which has taken the TSE’s market capitalisation to $6.22 trillion as of March 2018. The Tokyo Stock Exchange’s benchmark index is the Nikkei 225, which includes the top companies listed on the TSE such as </w:t>
      </w:r>
      <w:hyperlink r:id="rId14" w:history="1">
        <w:r w:rsidRPr="004418DA">
          <w:rPr>
            <w:rStyle w:val="Hyperlink"/>
            <w:rFonts w:eastAsiaTheme="majorEastAsia"/>
            <w:color w:val="3987CC"/>
          </w:rPr>
          <w:t>Honda Motor Co</w:t>
        </w:r>
      </w:hyperlink>
      <w:r w:rsidRPr="004418DA">
        <w:rPr>
          <w:color w:val="1E1A1A"/>
        </w:rPr>
        <w:t>, </w:t>
      </w:r>
      <w:hyperlink r:id="rId15" w:history="1">
        <w:r w:rsidRPr="004418DA">
          <w:rPr>
            <w:rStyle w:val="Hyperlink"/>
            <w:rFonts w:eastAsiaTheme="majorEastAsia"/>
            <w:color w:val="3987CC"/>
          </w:rPr>
          <w:t>Toyota Motor Corp</w:t>
        </w:r>
      </w:hyperlink>
      <w:r w:rsidRPr="004418DA">
        <w:rPr>
          <w:color w:val="1E1A1A"/>
        </w:rPr>
        <w:t> and </w:t>
      </w:r>
      <w:hyperlink r:id="rId16" w:history="1">
        <w:r w:rsidRPr="004418DA">
          <w:rPr>
            <w:rStyle w:val="Hyperlink"/>
            <w:rFonts w:eastAsiaTheme="majorEastAsia"/>
            <w:color w:val="3987CC"/>
          </w:rPr>
          <w:t>Sony Corp</w:t>
        </w:r>
      </w:hyperlink>
      <w:r w:rsidRPr="004418DA">
        <w:rPr>
          <w:color w:val="1E1A1A"/>
        </w:rPr>
        <w:t>.</w:t>
      </w:r>
    </w:p>
    <w:p w:rsidR="0002713C" w:rsidRPr="004418DA" w:rsidRDefault="0002713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Shanghai Stock Exchange</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The Shanghai Stock Exchange (SSE) is one of three independent stock exchanges in the People’s Republic of China – the other two being Shenzhen and Hong Kong, which also feature on this list. The Shanghai Stock Exchange is the fourth largest stock exchange in the world, despite the fact it was only founded in 1990. The exchange’s origins do actually date back to 1866, but it was suspended in 1949 due to the Chinese revolution.</w:t>
      </w:r>
    </w:p>
    <w:p w:rsidR="0002713C" w:rsidRPr="004418DA" w:rsidRDefault="0002713C" w:rsidP="004418DA">
      <w:pPr>
        <w:pStyle w:val="NormalWeb"/>
        <w:shd w:val="clear" w:color="auto" w:fill="FFFFFF"/>
        <w:spacing w:before="0" w:beforeAutospacing="0" w:after="450" w:afterAutospacing="0" w:line="360" w:lineRule="auto"/>
        <w:jc w:val="both"/>
        <w:rPr>
          <w:color w:val="1E1A1A"/>
        </w:rPr>
      </w:pPr>
      <w:r w:rsidRPr="004418DA">
        <w:rPr>
          <w:color w:val="1E1A1A"/>
        </w:rPr>
        <w:t>Each stock listed on the SSE has ‘A’ shares that are priced in the local yuan currency, and ‘B’ shares that are quoted in US dollars. ‘A’ shares are for domestic investment only, with the exception of investors who qualify for the foreign investment scheme, while ‘B’ shares are available to both domestic and foreign investors.</w:t>
      </w:r>
    </w:p>
    <w:p w:rsidR="00FD5AE4" w:rsidRPr="004418DA" w:rsidRDefault="009C40FC" w:rsidP="004418DA">
      <w:pPr>
        <w:spacing w:line="360" w:lineRule="auto"/>
        <w:jc w:val="both"/>
        <w:rPr>
          <w:rFonts w:ascii="Times New Roman" w:hAnsi="Times New Roman" w:cs="Times New Roman"/>
          <w:color w:val="1E1A1A"/>
          <w:sz w:val="24"/>
          <w:szCs w:val="24"/>
          <w:shd w:val="clear" w:color="auto" w:fill="FFFFFF"/>
        </w:rPr>
      </w:pPr>
      <w:r w:rsidRPr="004418DA">
        <w:rPr>
          <w:rFonts w:ascii="Times New Roman" w:hAnsi="Times New Roman" w:cs="Times New Roman"/>
          <w:color w:val="1E1A1A"/>
          <w:sz w:val="24"/>
          <w:szCs w:val="24"/>
          <w:shd w:val="clear" w:color="auto" w:fill="FFFFFF"/>
        </w:rPr>
        <w:lastRenderedPageBreak/>
        <w:t xml:space="preserve">The Shanghai Stock Exchange’s market capitalisation reached $5.01 trillion in March 2018. Traders can track the performance of stocks listed on the Shanghai Stock Exchange using the SSE Composite index, also known as the Shanghai Composite. This includes the largest stocks on the Shanghai Stock Exchange, such as </w:t>
      </w:r>
      <w:proofErr w:type="spellStart"/>
      <w:r w:rsidRPr="004418DA">
        <w:rPr>
          <w:rFonts w:ascii="Times New Roman" w:hAnsi="Times New Roman" w:cs="Times New Roman"/>
          <w:color w:val="1E1A1A"/>
          <w:sz w:val="24"/>
          <w:szCs w:val="24"/>
          <w:shd w:val="clear" w:color="auto" w:fill="FFFFFF"/>
        </w:rPr>
        <w:t>PetroChina</w:t>
      </w:r>
      <w:proofErr w:type="spellEnd"/>
      <w:r w:rsidRPr="004418DA">
        <w:rPr>
          <w:rFonts w:ascii="Times New Roman" w:hAnsi="Times New Roman" w:cs="Times New Roman"/>
          <w:color w:val="1E1A1A"/>
          <w:sz w:val="24"/>
          <w:szCs w:val="24"/>
          <w:shd w:val="clear" w:color="auto" w:fill="FFFFFF"/>
        </w:rPr>
        <w:t>, the Industrial and Commercial Bank of China and the Agricultural Bank of China.</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Hong Kong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Hong Kong Stock Exchange (SEHK) was founded in 1891 by the Association of Stockbrokers in Hong Kong – it was renamed the Hong Kong Stock Exchange in 1914. The SEHK is one of the three stock exchanges in China, but the physical trading floor of the SEHL was closed in 2017 because of the shift toward electronic trading.</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Stock Exchange of Hong Kong is the third-largest stock exchange in Asia, and the fifth largest in the world with a market capitalisation of $4.46 trillion in March 2018. The Hong Kong Stock Exchange trades in Hong Kong Dollars (HKD), as the companies listed are primarily based in Hong Kong. There are 1955 companies listed on the Hong Kong Stock Exchange – a large portion of the Hong Kong Stock Exchange’s market capitalisation comes from its 20 largest stocks, which include </w:t>
      </w:r>
      <w:hyperlink r:id="rId17" w:history="1">
        <w:r w:rsidRPr="004418DA">
          <w:rPr>
            <w:rStyle w:val="Hyperlink"/>
            <w:rFonts w:eastAsiaTheme="majorEastAsia"/>
            <w:color w:val="3987CC"/>
          </w:rPr>
          <w:t>AIA</w:t>
        </w:r>
      </w:hyperlink>
      <w:r w:rsidRPr="004418DA">
        <w:rPr>
          <w:color w:val="1E1A1A"/>
        </w:rPr>
        <w:t>, </w:t>
      </w:r>
      <w:proofErr w:type="spellStart"/>
      <w:r w:rsidRPr="004418DA">
        <w:rPr>
          <w:color w:val="1E1A1A"/>
        </w:rPr>
        <w:fldChar w:fldCharType="begin"/>
      </w:r>
      <w:r w:rsidRPr="004418DA">
        <w:rPr>
          <w:color w:val="1E1A1A"/>
        </w:rPr>
        <w:instrText xml:space="preserve"> HYPERLINK "https://www.ig.com/uk/shares/markets-shares/tencent-holdings-ltd-700-HK" </w:instrText>
      </w:r>
      <w:r w:rsidRPr="004418DA">
        <w:rPr>
          <w:color w:val="1E1A1A"/>
        </w:rPr>
        <w:fldChar w:fldCharType="separate"/>
      </w:r>
      <w:r w:rsidRPr="004418DA">
        <w:rPr>
          <w:rStyle w:val="Hyperlink"/>
          <w:rFonts w:eastAsiaTheme="majorEastAsia"/>
          <w:color w:val="3987CC"/>
        </w:rPr>
        <w:t>Tencent</w:t>
      </w:r>
      <w:proofErr w:type="spellEnd"/>
      <w:r w:rsidRPr="004418DA">
        <w:rPr>
          <w:rStyle w:val="Hyperlink"/>
          <w:rFonts w:eastAsiaTheme="majorEastAsia"/>
          <w:color w:val="3987CC"/>
        </w:rPr>
        <w:t xml:space="preserve"> Holdings</w:t>
      </w:r>
      <w:r w:rsidRPr="004418DA">
        <w:rPr>
          <w:color w:val="1E1A1A"/>
        </w:rPr>
        <w:fldChar w:fldCharType="end"/>
      </w:r>
      <w:r w:rsidRPr="004418DA">
        <w:rPr>
          <w:color w:val="1E1A1A"/>
        </w:rPr>
        <w:t> and </w:t>
      </w:r>
      <w:hyperlink r:id="rId18" w:history="1">
        <w:r w:rsidRPr="004418DA">
          <w:rPr>
            <w:rStyle w:val="Hyperlink"/>
            <w:rFonts w:eastAsiaTheme="majorEastAsia"/>
            <w:color w:val="3987CC"/>
          </w:rPr>
          <w:t>HSBC Holdings</w:t>
        </w:r>
      </w:hyperlink>
      <w:r w:rsidRPr="004418DA">
        <w:rPr>
          <w:color w:val="1E1A1A"/>
        </w:rPr>
        <w:t>.</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London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w:t>
      </w:r>
      <w:hyperlink r:id="rId19" w:history="1">
        <w:r w:rsidRPr="004418DA">
          <w:rPr>
            <w:rStyle w:val="Hyperlink"/>
            <w:rFonts w:eastAsiaTheme="majorEastAsia"/>
            <w:color w:val="3987CC"/>
          </w:rPr>
          <w:t>London Stock Exchange</w:t>
        </w:r>
      </w:hyperlink>
      <w:r w:rsidRPr="004418DA">
        <w:rPr>
          <w:color w:val="1E1A1A"/>
        </w:rPr>
        <w:t> (LSE) was founded in 1801, but its origins date back to 1698 when the LSE’s service was nothing more than a twice-weekly paper publication of market prices. This makes it the one of the oldest stock exchanges in the world. It was actually the largest stock exchange in the world up until the end of World War I, when it was dethroned by the NYSE. The LSE is now the sixth largest stock exchange in the world, and the largest stock exchange in Europe.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 xml:space="preserve">The LSE is owned by the London Stock Exchange Group, which was created in 2007 when the LSE merged with the </w:t>
      </w:r>
      <w:proofErr w:type="spellStart"/>
      <w:r w:rsidRPr="004418DA">
        <w:rPr>
          <w:color w:val="1E1A1A"/>
        </w:rPr>
        <w:t>Borsa</w:t>
      </w:r>
      <w:proofErr w:type="spellEnd"/>
      <w:r w:rsidRPr="004418DA">
        <w:rPr>
          <w:color w:val="1E1A1A"/>
        </w:rPr>
        <w:t xml:space="preserve"> </w:t>
      </w:r>
      <w:proofErr w:type="spellStart"/>
      <w:r w:rsidRPr="004418DA">
        <w:rPr>
          <w:color w:val="1E1A1A"/>
        </w:rPr>
        <w:t>Italiana</w:t>
      </w:r>
      <w:proofErr w:type="spellEnd"/>
      <w:r w:rsidRPr="004418DA">
        <w:rPr>
          <w:color w:val="1E1A1A"/>
        </w:rPr>
        <w:t>. It is the most international stock exchange, with over 3000 companies across 70 countries.</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 xml:space="preserve">The market capitalisation of the London Stock Exchange was $4.38 trillion in March 2018. Traders can track the performance of the LSE, and its market capitalisation, with the Financial </w:t>
      </w:r>
      <w:r w:rsidRPr="004418DA">
        <w:rPr>
          <w:color w:val="1E1A1A"/>
        </w:rPr>
        <w:lastRenderedPageBreak/>
        <w:t>Times Stock Exchange Index 100 Share Index, or </w:t>
      </w:r>
      <w:hyperlink r:id="rId20" w:history="1">
        <w:r w:rsidRPr="004418DA">
          <w:rPr>
            <w:rStyle w:val="Hyperlink"/>
            <w:rFonts w:eastAsiaTheme="majorEastAsia"/>
            <w:color w:val="3987CC"/>
          </w:rPr>
          <w:t>FTSE 100</w:t>
        </w:r>
      </w:hyperlink>
      <w:r w:rsidRPr="004418DA">
        <w:rPr>
          <w:color w:val="1E1A1A"/>
        </w:rPr>
        <w:t>. The index contains the top 100 companies listed on the London Stock Exchange – including </w:t>
      </w:r>
      <w:hyperlink r:id="rId21" w:history="1">
        <w:r w:rsidRPr="004418DA">
          <w:rPr>
            <w:rStyle w:val="Hyperlink"/>
            <w:rFonts w:eastAsiaTheme="majorEastAsia"/>
            <w:color w:val="3987CC"/>
          </w:rPr>
          <w:t>Barclays</w:t>
        </w:r>
      </w:hyperlink>
      <w:r w:rsidRPr="004418DA">
        <w:rPr>
          <w:color w:val="1E1A1A"/>
        </w:rPr>
        <w:t>, </w:t>
      </w:r>
      <w:hyperlink r:id="rId22" w:history="1">
        <w:r w:rsidRPr="004418DA">
          <w:rPr>
            <w:rStyle w:val="Hyperlink"/>
            <w:rFonts w:eastAsiaTheme="majorEastAsia"/>
            <w:color w:val="3987CC"/>
          </w:rPr>
          <w:t>BP</w:t>
        </w:r>
      </w:hyperlink>
      <w:r w:rsidRPr="004418DA">
        <w:rPr>
          <w:color w:val="1E1A1A"/>
        </w:rPr>
        <w:t> and </w:t>
      </w:r>
      <w:hyperlink r:id="rId23" w:history="1">
        <w:r w:rsidRPr="004418DA">
          <w:rPr>
            <w:rStyle w:val="Hyperlink"/>
            <w:rFonts w:eastAsiaTheme="majorEastAsia"/>
            <w:color w:val="3987CC"/>
          </w:rPr>
          <w:t>GlaxoSmithKline</w:t>
        </w:r>
      </w:hyperlink>
      <w:r w:rsidRPr="004418DA">
        <w:rPr>
          <w:color w:val="1E1A1A"/>
        </w:rPr>
        <w:t>. There are other indices that can be used to track the London Stock Exchange-listed companies, including the </w:t>
      </w:r>
      <w:hyperlink r:id="rId24" w:history="1">
        <w:r w:rsidRPr="004418DA">
          <w:rPr>
            <w:rStyle w:val="Hyperlink"/>
            <w:rFonts w:eastAsiaTheme="majorEastAsia"/>
            <w:color w:val="3987CC"/>
          </w:rPr>
          <w:t>FTSE 250</w:t>
        </w:r>
      </w:hyperlink>
      <w:r w:rsidRPr="004418DA">
        <w:rPr>
          <w:color w:val="1E1A1A"/>
        </w:rPr>
        <w:t>, the FTSE Small Cap and the FTSE All-Share.</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Euronext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Euronext Stock Exchange is based in Amsterdam, Netherlands, but it is a pan-European exchange – it spans the Netherlands, Portugal, Belgium, France, Ireland and the UK. It was founded in 2000 to represent the economy of Europe as a whole, which is why it operates in euros.</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In 2007, Euronext merged with the NYSE Group to form NYSE Euronext, and in 2013, Intercontinental Exchange took over the exchange completely. Then, in June 2014, Euronext went public in order to become a standalone company again.</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Euronext is the seventh largest stock exchange in the world, with a market capitalisation of $4.36 trillion. Because the exchange includes several countries, there are 1300 listed companies and 30 stock indices that can be used to track its performance. However, the dominant stock index for Euronext-listed companies is the Euronext 100, which is made up of the largest and most liquid stocks on the Euronext Stock Exchange – including </w:t>
      </w:r>
      <w:hyperlink r:id="rId25" w:history="1">
        <w:r w:rsidRPr="004418DA">
          <w:rPr>
            <w:rStyle w:val="Hyperlink"/>
            <w:rFonts w:eastAsiaTheme="majorEastAsia"/>
            <w:color w:val="3987CC"/>
          </w:rPr>
          <w:t>AXA</w:t>
        </w:r>
      </w:hyperlink>
      <w:r w:rsidRPr="004418DA">
        <w:rPr>
          <w:color w:val="1E1A1A"/>
        </w:rPr>
        <w:t>, </w:t>
      </w:r>
      <w:hyperlink r:id="rId26" w:history="1">
        <w:r w:rsidRPr="004418DA">
          <w:rPr>
            <w:rStyle w:val="Hyperlink"/>
            <w:rFonts w:eastAsiaTheme="majorEastAsia"/>
            <w:color w:val="3987CC"/>
          </w:rPr>
          <w:t>Christian Dior</w:t>
        </w:r>
      </w:hyperlink>
      <w:r w:rsidRPr="004418DA">
        <w:rPr>
          <w:color w:val="1E1A1A"/>
        </w:rPr>
        <w:t> and </w:t>
      </w:r>
      <w:hyperlink r:id="rId27" w:history="1">
        <w:r w:rsidRPr="004418DA">
          <w:rPr>
            <w:rStyle w:val="Hyperlink"/>
            <w:rFonts w:eastAsiaTheme="majorEastAsia"/>
            <w:color w:val="3987CC"/>
          </w:rPr>
          <w:t>Renault</w:t>
        </w:r>
      </w:hyperlink>
      <w:r w:rsidRPr="004418DA">
        <w:rPr>
          <w:color w:val="1E1A1A"/>
        </w:rPr>
        <w:t>.</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Shenzhen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Shenzhen Stock Exchange (SZSE) is the third exchange of the People’s Republic of China. Although it was founded in 1987, it wasn’t formally operational until 1990. The SZSE is a self-regulated body, but it is supervised by the China Securities Regulatory Commission (CSRC).</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Shenzhen Stock Exchange had a market capitalisation of $3.49 trillion in March 2018, which made it the eighth largest stock exchange in the world.</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lastRenderedPageBreak/>
        <w:t xml:space="preserve">The SZSE trades shares in Chinese yuan because the companies listed on the Shenzhen Stock Exchange are primarily based in China. The Shenzhen Stock Exchange is also home to the SME Board established in 2004 for businesses in the manufacturing sector, and the </w:t>
      </w:r>
      <w:proofErr w:type="spellStart"/>
      <w:r w:rsidRPr="004418DA">
        <w:rPr>
          <w:color w:val="1E1A1A"/>
        </w:rPr>
        <w:t>ChiNext</w:t>
      </w:r>
      <w:proofErr w:type="spellEnd"/>
      <w:r w:rsidRPr="004418DA">
        <w:rPr>
          <w:color w:val="1E1A1A"/>
        </w:rPr>
        <w:t xml:space="preserve"> board, which was launched in 2009 to replicate the NASDAQ’s focus on technology start-ups.</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Toronto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Toronto Stock Exchange (TSX) was founded in 1852. It is the largest stock exchange in Canada, with over 1500 companies listed. In 2009, the TSX merged with the Montreal Stock Exchange and so the parent company was renamed from TSX Group to TMX Group. The TMX Group was in talks to merge with the London Stock Exchange in 2011, but this fell through after it failed to get approval from shareholders.</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The TSX is the third-largest stock exchange in North America by market capitalisation, and the ninth largest in the world – in March 2018, the market capitalisation of the Toronto Stock Exchange was $2.29 trillion. Some of the most significant companies listed on the Toronto Stock Exchange include the </w:t>
      </w:r>
      <w:hyperlink r:id="rId28" w:history="1">
        <w:r w:rsidRPr="004418DA">
          <w:rPr>
            <w:rStyle w:val="Hyperlink"/>
            <w:rFonts w:eastAsiaTheme="majorEastAsia"/>
            <w:color w:val="3987CC"/>
          </w:rPr>
          <w:t>Royal Bank of Canada</w:t>
        </w:r>
      </w:hyperlink>
      <w:r w:rsidRPr="004418DA">
        <w:rPr>
          <w:color w:val="1E1A1A"/>
        </w:rPr>
        <w:t> and </w:t>
      </w:r>
      <w:hyperlink r:id="rId29" w:history="1">
        <w:r w:rsidRPr="004418DA">
          <w:rPr>
            <w:rStyle w:val="Hyperlink"/>
            <w:rFonts w:eastAsiaTheme="majorEastAsia"/>
            <w:color w:val="3987CC"/>
          </w:rPr>
          <w:t>Suncor Energy Inc</w:t>
        </w:r>
      </w:hyperlink>
      <w:r w:rsidRPr="004418DA">
        <w:rPr>
          <w:color w:val="1E1A1A"/>
        </w:rPr>
        <w:t>. The top 100 companies on the TSX can be tracked using the S&amp;P/TSX Composite Index, which accounts for roughly 70% of the Toronto Stock Exchange market capitalisation.</w:t>
      </w:r>
    </w:p>
    <w:p w:rsidR="009C40FC" w:rsidRPr="004418DA" w:rsidRDefault="009C40FC" w:rsidP="004418DA">
      <w:pPr>
        <w:pStyle w:val="Heading2"/>
        <w:shd w:val="clear" w:color="auto" w:fill="FFFFFF"/>
        <w:spacing w:after="150" w:afterAutospacing="0" w:line="360" w:lineRule="auto"/>
        <w:jc w:val="both"/>
        <w:rPr>
          <w:bCs w:val="0"/>
          <w:color w:val="1E1A1A"/>
          <w:sz w:val="24"/>
          <w:szCs w:val="24"/>
        </w:rPr>
      </w:pPr>
      <w:r w:rsidRPr="004418DA">
        <w:rPr>
          <w:bCs w:val="0"/>
          <w:color w:val="1E1A1A"/>
          <w:sz w:val="24"/>
          <w:szCs w:val="24"/>
        </w:rPr>
        <w:t>Frankfurt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 xml:space="preserve">The Frankfurt Stock Exchange (FWB) was founded in 1585 to fix currency rates, but in the following centuries it became considered as one of the first stock </w:t>
      </w:r>
      <w:proofErr w:type="gramStart"/>
      <w:r w:rsidRPr="004418DA">
        <w:rPr>
          <w:color w:val="1E1A1A"/>
        </w:rPr>
        <w:t>exchange’s</w:t>
      </w:r>
      <w:proofErr w:type="gramEnd"/>
      <w:r w:rsidRPr="004418DA">
        <w:rPr>
          <w:color w:val="1E1A1A"/>
        </w:rPr>
        <w:t xml:space="preserve"> in the world – alongside the London Stock Exchange and Paris Stock Exchange. It was only after World War II that the Frankfurt Stock Exchange was officially established as Germany’s leading stock exchange.</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 xml:space="preserve">In 1993, ownership of the Frankfurt Stock Exchange was transferred to the company Deutsche </w:t>
      </w:r>
      <w:proofErr w:type="spellStart"/>
      <w:r w:rsidRPr="004418DA">
        <w:rPr>
          <w:color w:val="1E1A1A"/>
        </w:rPr>
        <w:t>Bӧrse</w:t>
      </w:r>
      <w:proofErr w:type="spellEnd"/>
      <w:r w:rsidRPr="004418DA">
        <w:rPr>
          <w:color w:val="1E1A1A"/>
        </w:rPr>
        <w:t xml:space="preserve"> AG, which was also in talks to take over the London Stock Exchange. These talks fell through in 2005.</w:t>
      </w:r>
    </w:p>
    <w:p w:rsidR="009C40FC" w:rsidRPr="004418DA" w:rsidRDefault="009C40FC" w:rsidP="004418DA">
      <w:pPr>
        <w:pStyle w:val="NormalWeb"/>
        <w:shd w:val="clear" w:color="auto" w:fill="FFFFFF"/>
        <w:spacing w:before="0" w:beforeAutospacing="0" w:after="450" w:afterAutospacing="0" w:line="360" w:lineRule="auto"/>
        <w:jc w:val="both"/>
        <w:rPr>
          <w:color w:val="1E1A1A"/>
        </w:rPr>
      </w:pPr>
      <w:r w:rsidRPr="004418DA">
        <w:rPr>
          <w:color w:val="1E1A1A"/>
        </w:rPr>
        <w:t xml:space="preserve">The market capitalisation of the Frankfurt Stock Exchange was $2.22 trillion in March 2018, which places it as the tenth largest stock exchange in the world. The companies listed on the </w:t>
      </w:r>
      <w:r w:rsidRPr="004418DA">
        <w:rPr>
          <w:color w:val="1E1A1A"/>
        </w:rPr>
        <w:lastRenderedPageBreak/>
        <w:t>Frankfurt Stock Exchange are primarily based in Germany and other countries that trade using the euro. The primary index used to track the performance of the Frankfurt Stock Exchange is the DAX – a blue-chip stock market index for the top 30 companies on the FWB, which includes companies such as </w:t>
      </w:r>
      <w:hyperlink r:id="rId30" w:history="1">
        <w:r w:rsidRPr="004418DA">
          <w:rPr>
            <w:rStyle w:val="Hyperlink"/>
            <w:rFonts w:eastAsiaTheme="majorEastAsia"/>
            <w:color w:val="3987CC"/>
          </w:rPr>
          <w:t>Adidas</w:t>
        </w:r>
      </w:hyperlink>
      <w:r w:rsidRPr="004418DA">
        <w:rPr>
          <w:color w:val="1E1A1A"/>
        </w:rPr>
        <w:t>, </w:t>
      </w:r>
      <w:hyperlink r:id="rId31" w:history="1">
        <w:r w:rsidRPr="004418DA">
          <w:rPr>
            <w:rStyle w:val="Hyperlink"/>
            <w:rFonts w:eastAsiaTheme="majorEastAsia"/>
            <w:color w:val="3987CC"/>
          </w:rPr>
          <w:t>BMW</w:t>
        </w:r>
      </w:hyperlink>
      <w:r w:rsidRPr="004418DA">
        <w:rPr>
          <w:color w:val="1E1A1A"/>
        </w:rPr>
        <w:t> and </w:t>
      </w:r>
      <w:hyperlink r:id="rId32" w:history="1">
        <w:r w:rsidRPr="004418DA">
          <w:rPr>
            <w:rStyle w:val="Hyperlink"/>
            <w:rFonts w:eastAsiaTheme="majorEastAsia"/>
            <w:color w:val="3987CC"/>
          </w:rPr>
          <w:t>E.ON</w:t>
        </w:r>
      </w:hyperlink>
      <w:r w:rsidRPr="004418DA">
        <w:rPr>
          <w:color w:val="1E1A1A"/>
        </w:rPr>
        <w:t>.</w:t>
      </w:r>
    </w:p>
    <w:p w:rsidR="00A66B77" w:rsidRPr="004418DA" w:rsidRDefault="00A66B77" w:rsidP="004418DA">
      <w:pPr>
        <w:pStyle w:val="NormalWeb"/>
        <w:shd w:val="clear" w:color="auto" w:fill="FFFFFF"/>
        <w:spacing w:before="0" w:beforeAutospacing="0" w:after="450" w:afterAutospacing="0" w:line="360" w:lineRule="auto"/>
        <w:jc w:val="both"/>
        <w:rPr>
          <w:color w:val="1E1A1A"/>
        </w:rPr>
      </w:pPr>
    </w:p>
    <w:p w:rsidR="00A66B77" w:rsidRPr="004418DA" w:rsidRDefault="00A66B77" w:rsidP="004418DA">
      <w:pPr>
        <w:pStyle w:val="NormalWeb"/>
        <w:shd w:val="clear" w:color="auto" w:fill="FFFFFF"/>
        <w:spacing w:before="0" w:beforeAutospacing="0" w:after="450" w:afterAutospacing="0" w:line="360" w:lineRule="auto"/>
        <w:jc w:val="both"/>
        <w:rPr>
          <w:color w:val="1E1A1A"/>
        </w:rPr>
      </w:pPr>
    </w:p>
    <w:p w:rsidR="00A66B77" w:rsidRPr="004418DA" w:rsidRDefault="00A66B77" w:rsidP="004418DA">
      <w:pPr>
        <w:pStyle w:val="NormalWeb"/>
        <w:shd w:val="clear" w:color="auto" w:fill="FFFFFF"/>
        <w:spacing w:before="0" w:beforeAutospacing="0" w:after="450" w:afterAutospacing="0" w:line="360" w:lineRule="auto"/>
        <w:jc w:val="both"/>
        <w:rPr>
          <w:color w:val="1E1A1A"/>
        </w:rPr>
      </w:pPr>
    </w:p>
    <w:p w:rsidR="00A66B77" w:rsidRPr="004418DA" w:rsidRDefault="009C40FC" w:rsidP="004418DA">
      <w:pPr>
        <w:pBdr>
          <w:top w:val="single" w:sz="2" w:space="0" w:color="E2E8F0"/>
          <w:left w:val="single" w:sz="2" w:space="0" w:color="E2E8F0"/>
          <w:bottom w:val="single" w:sz="2" w:space="0" w:color="E2E8F0"/>
          <w:right w:val="single" w:sz="2" w:space="0" w:color="E2E8F0"/>
        </w:pBdr>
        <w:shd w:val="clear" w:color="auto" w:fill="FFFFFF"/>
        <w:spacing w:before="100" w:beforeAutospacing="1" w:after="100" w:afterAutospacing="1" w:line="360" w:lineRule="auto"/>
        <w:jc w:val="both"/>
        <w:rPr>
          <w:rFonts w:ascii="Times New Roman" w:eastAsia="Times New Roman" w:hAnsi="Times New Roman" w:cs="Times New Roman"/>
          <w:color w:val="011B2B"/>
          <w:sz w:val="24"/>
          <w:szCs w:val="24"/>
          <w:shd w:val="clear" w:color="auto" w:fill="FFFFFF"/>
          <w:lang w:eastAsia="en-IN"/>
        </w:rPr>
      </w:pPr>
      <w:r w:rsidRPr="004418DA">
        <w:rPr>
          <w:rFonts w:ascii="Times New Roman" w:eastAsia="Times New Roman" w:hAnsi="Times New Roman" w:cs="Times New Roman"/>
          <w:color w:val="000000"/>
          <w:sz w:val="24"/>
          <w:szCs w:val="24"/>
          <w:bdr w:val="single" w:sz="2" w:space="0" w:color="E2E8F0" w:frame="1"/>
          <w:lang w:eastAsia="en-IN"/>
        </w:rPr>
        <w:t>.</w:t>
      </w:r>
      <w:r w:rsidR="00A66B77" w:rsidRPr="004418DA">
        <w:rPr>
          <w:rFonts w:ascii="Times New Roman" w:eastAsia="Times New Roman" w:hAnsi="Times New Roman" w:cs="Times New Roman"/>
          <w:color w:val="000000"/>
          <w:sz w:val="24"/>
          <w:szCs w:val="24"/>
          <w:bdr w:val="single" w:sz="2" w:space="0" w:color="E2E8F0" w:frame="1"/>
          <w:lang w:eastAsia="en-IN"/>
        </w:rPr>
        <w:t xml:space="preserve"> </w:t>
      </w:r>
    </w:p>
    <w:p w:rsidR="00A66B77" w:rsidRPr="004418DA" w:rsidRDefault="00A66B77" w:rsidP="004418DA">
      <w:pPr>
        <w:pBdr>
          <w:top w:val="single" w:sz="2" w:space="0" w:color="E2E8F0"/>
          <w:left w:val="single" w:sz="2" w:space="0" w:color="E2E8F0"/>
          <w:bottom w:val="single" w:sz="2" w:space="0" w:color="E2E8F0"/>
          <w:right w:val="single" w:sz="2" w:space="0" w:color="E2E8F0"/>
        </w:pBdr>
        <w:shd w:val="clear" w:color="auto" w:fill="FFFFFF"/>
        <w:spacing w:before="100" w:beforeAutospacing="1" w:after="100" w:afterAutospacing="1" w:line="360" w:lineRule="auto"/>
        <w:jc w:val="both"/>
        <w:rPr>
          <w:rFonts w:ascii="Times New Roman" w:eastAsia="Times New Roman" w:hAnsi="Times New Roman" w:cs="Times New Roman"/>
          <w:color w:val="191C1F"/>
          <w:sz w:val="24"/>
          <w:szCs w:val="24"/>
          <w:lang w:eastAsia="en-IN"/>
        </w:rPr>
      </w:pPr>
      <w:r w:rsidRPr="004418DA">
        <w:rPr>
          <w:rFonts w:ascii="Times New Roman" w:eastAsia="Times New Roman" w:hAnsi="Times New Roman" w:cs="Times New Roman"/>
          <w:b/>
          <w:bCs/>
          <w:color w:val="000000"/>
          <w:sz w:val="24"/>
          <w:szCs w:val="24"/>
          <w:bdr w:val="single" w:sz="2" w:space="0" w:color="E2E8F0" w:frame="1"/>
          <w:lang w:eastAsia="en-IN"/>
        </w:rPr>
        <w:t>National Stock Exchange (NSE)/Bombay Stock Exchange (BSE), India</w:t>
      </w:r>
    </w:p>
    <w:p w:rsidR="00A66B77" w:rsidRPr="004418DA" w:rsidRDefault="00A66B77" w:rsidP="004418DA">
      <w:pPr>
        <w:pBdr>
          <w:top w:val="single" w:sz="2" w:space="0" w:color="E2E8F0"/>
          <w:left w:val="single" w:sz="2" w:space="0" w:color="E2E8F0"/>
          <w:bottom w:val="single" w:sz="2" w:space="0" w:color="E2E8F0"/>
          <w:right w:val="single" w:sz="2" w:space="0" w:color="E2E8F0"/>
        </w:pBdr>
        <w:shd w:val="clear" w:color="auto" w:fill="FFFFFF"/>
        <w:spacing w:before="100" w:beforeAutospacing="1" w:after="100" w:afterAutospacing="1" w:line="360" w:lineRule="auto"/>
        <w:jc w:val="both"/>
        <w:rPr>
          <w:rFonts w:ascii="Times New Roman" w:eastAsia="Times New Roman" w:hAnsi="Times New Roman" w:cs="Times New Roman"/>
          <w:color w:val="191C1F"/>
          <w:sz w:val="24"/>
          <w:szCs w:val="24"/>
          <w:lang w:eastAsia="en-IN"/>
        </w:rPr>
      </w:pPr>
      <w:r w:rsidRPr="004418DA">
        <w:rPr>
          <w:rFonts w:ascii="Times New Roman" w:eastAsia="Times New Roman" w:hAnsi="Times New Roman" w:cs="Times New Roman"/>
          <w:color w:val="000000"/>
          <w:sz w:val="24"/>
          <w:szCs w:val="24"/>
          <w:bdr w:val="single" w:sz="2" w:space="0" w:color="E2E8F0" w:frame="1"/>
          <w:lang w:eastAsia="en-IN"/>
        </w:rPr>
        <w:t xml:space="preserve">As of May 2021, the Mumbai-based NSE has reached </w:t>
      </w:r>
      <w:proofErr w:type="gramStart"/>
      <w:r w:rsidRPr="004418DA">
        <w:rPr>
          <w:rFonts w:ascii="Times New Roman" w:eastAsia="Times New Roman" w:hAnsi="Times New Roman" w:cs="Times New Roman"/>
          <w:color w:val="000000"/>
          <w:sz w:val="24"/>
          <w:szCs w:val="24"/>
          <w:bdr w:val="single" w:sz="2" w:space="0" w:color="E2E8F0" w:frame="1"/>
          <w:lang w:eastAsia="en-IN"/>
        </w:rPr>
        <w:t>an</w:t>
      </w:r>
      <w:proofErr w:type="gramEnd"/>
      <w:r w:rsidRPr="004418DA">
        <w:rPr>
          <w:rFonts w:ascii="Times New Roman" w:eastAsia="Times New Roman" w:hAnsi="Times New Roman" w:cs="Times New Roman"/>
          <w:color w:val="000000"/>
          <w:sz w:val="24"/>
          <w:szCs w:val="24"/>
          <w:bdr w:val="single" w:sz="2" w:space="0" w:color="E2E8F0" w:frame="1"/>
          <w:lang w:eastAsia="en-IN"/>
        </w:rPr>
        <w:t xml:space="preserve"> </w:t>
      </w:r>
      <w:proofErr w:type="spellStart"/>
      <w:r w:rsidRPr="004418DA">
        <w:rPr>
          <w:rFonts w:ascii="Times New Roman" w:eastAsia="Times New Roman" w:hAnsi="Times New Roman" w:cs="Times New Roman"/>
          <w:color w:val="000000"/>
          <w:sz w:val="24"/>
          <w:szCs w:val="24"/>
          <w:bdr w:val="single" w:sz="2" w:space="0" w:color="E2E8F0" w:frame="1"/>
          <w:lang w:eastAsia="en-IN"/>
        </w:rPr>
        <w:t>MCap</w:t>
      </w:r>
      <w:proofErr w:type="spellEnd"/>
      <w:r w:rsidRPr="004418DA">
        <w:rPr>
          <w:rFonts w:ascii="Times New Roman" w:eastAsia="Times New Roman" w:hAnsi="Times New Roman" w:cs="Times New Roman"/>
          <w:color w:val="000000"/>
          <w:sz w:val="24"/>
          <w:szCs w:val="24"/>
          <w:bdr w:val="single" w:sz="2" w:space="0" w:color="E2E8F0" w:frame="1"/>
          <w:lang w:eastAsia="en-IN"/>
        </w:rPr>
        <w:t xml:space="preserve"> of $3tn. It is the youngest stock exchange on this list, having only been in existence since 1992 as India’s first dematerialized (</w:t>
      </w:r>
      <w:proofErr w:type="spellStart"/>
      <w:r w:rsidRPr="004418DA">
        <w:rPr>
          <w:rFonts w:ascii="Times New Roman" w:eastAsia="Times New Roman" w:hAnsi="Times New Roman" w:cs="Times New Roman"/>
          <w:color w:val="000000"/>
          <w:sz w:val="24"/>
          <w:szCs w:val="24"/>
          <w:bdr w:val="single" w:sz="2" w:space="0" w:color="E2E8F0" w:frame="1"/>
          <w:lang w:eastAsia="en-IN"/>
        </w:rPr>
        <w:t>demat</w:t>
      </w:r>
      <w:proofErr w:type="spellEnd"/>
      <w:r w:rsidRPr="004418DA">
        <w:rPr>
          <w:rFonts w:ascii="Times New Roman" w:eastAsia="Times New Roman" w:hAnsi="Times New Roman" w:cs="Times New Roman"/>
          <w:color w:val="000000"/>
          <w:sz w:val="24"/>
          <w:szCs w:val="24"/>
          <w:bdr w:val="single" w:sz="2" w:space="0" w:color="E2E8F0" w:frame="1"/>
          <w:lang w:eastAsia="en-IN"/>
        </w:rPr>
        <w:t>) electronic exchange. It has over 1950 companies listed on it. Its flagship index is the NIFTY 50, comprising the top 50 stocks on the exchange. The index is a primary indicator of the Indian stock market’s health, with domestic as well as foreign investors keeping a keen eye on it.</w:t>
      </w:r>
    </w:p>
    <w:p w:rsidR="005A4B5A" w:rsidRPr="004418DA" w:rsidRDefault="00A66B77" w:rsidP="004418DA">
      <w:pPr>
        <w:spacing w:after="0" w:line="360" w:lineRule="auto"/>
        <w:jc w:val="both"/>
        <w:rPr>
          <w:rFonts w:ascii="Times New Roman" w:eastAsia="Times New Roman" w:hAnsi="Times New Roman" w:cs="Times New Roman"/>
          <w:color w:val="011B2B"/>
          <w:sz w:val="24"/>
          <w:szCs w:val="24"/>
          <w:shd w:val="clear" w:color="auto" w:fill="FFFFFF"/>
          <w:lang w:eastAsia="en-IN"/>
        </w:rPr>
      </w:pPr>
      <w:r w:rsidRPr="004418DA">
        <w:rPr>
          <w:rFonts w:ascii="Times New Roman" w:eastAsia="Times New Roman" w:hAnsi="Times New Roman" w:cs="Times New Roman"/>
          <w:color w:val="000000"/>
          <w:sz w:val="24"/>
          <w:szCs w:val="24"/>
          <w:bdr w:val="single" w:sz="2" w:space="0" w:color="E2E8F0" w:frame="1"/>
          <w:lang w:eastAsia="en-IN"/>
        </w:rPr>
        <w:t xml:space="preserve">The NSE’s position in India is continuously threatened by the venerable Bombay Stock Exchange (BSE), which has </w:t>
      </w:r>
      <w:proofErr w:type="gramStart"/>
      <w:r w:rsidRPr="004418DA">
        <w:rPr>
          <w:rFonts w:ascii="Times New Roman" w:eastAsia="Times New Roman" w:hAnsi="Times New Roman" w:cs="Times New Roman"/>
          <w:color w:val="000000"/>
          <w:sz w:val="24"/>
          <w:szCs w:val="24"/>
          <w:bdr w:val="single" w:sz="2" w:space="0" w:color="E2E8F0" w:frame="1"/>
          <w:lang w:eastAsia="en-IN"/>
        </w:rPr>
        <w:t>an</w:t>
      </w:r>
      <w:proofErr w:type="gramEnd"/>
      <w:r w:rsidRPr="004418DA">
        <w:rPr>
          <w:rFonts w:ascii="Times New Roman" w:eastAsia="Times New Roman" w:hAnsi="Times New Roman" w:cs="Times New Roman"/>
          <w:color w:val="000000"/>
          <w:sz w:val="24"/>
          <w:szCs w:val="24"/>
          <w:bdr w:val="single" w:sz="2" w:space="0" w:color="E2E8F0" w:frame="1"/>
          <w:lang w:eastAsia="en-IN"/>
        </w:rPr>
        <w:t xml:space="preserve"> </w:t>
      </w:r>
      <w:proofErr w:type="spellStart"/>
      <w:r w:rsidRPr="004418DA">
        <w:rPr>
          <w:rFonts w:ascii="Times New Roman" w:eastAsia="Times New Roman" w:hAnsi="Times New Roman" w:cs="Times New Roman"/>
          <w:color w:val="000000"/>
          <w:sz w:val="24"/>
          <w:szCs w:val="24"/>
          <w:bdr w:val="single" w:sz="2" w:space="0" w:color="E2E8F0" w:frame="1"/>
          <w:lang w:eastAsia="en-IN"/>
        </w:rPr>
        <w:t>MCap</w:t>
      </w:r>
      <w:proofErr w:type="spellEnd"/>
      <w:r w:rsidRPr="004418DA">
        <w:rPr>
          <w:rFonts w:ascii="Times New Roman" w:eastAsia="Times New Roman" w:hAnsi="Times New Roman" w:cs="Times New Roman"/>
          <w:color w:val="000000"/>
          <w:sz w:val="24"/>
          <w:szCs w:val="24"/>
          <w:bdr w:val="single" w:sz="2" w:space="0" w:color="E2E8F0" w:frame="1"/>
          <w:lang w:eastAsia="en-IN"/>
        </w:rPr>
        <w:t xml:space="preserve"> of around $3.1tn as of May 2021. Set up in 1875, the BSE is Asia’s first stock market. It lists around 5000 companies on it. Its benchmark Sensex index consists of 30 established stocks. The BSE </w:t>
      </w:r>
      <w:proofErr w:type="spellStart"/>
      <w:r w:rsidRPr="004418DA">
        <w:rPr>
          <w:rFonts w:ascii="Times New Roman" w:eastAsia="Times New Roman" w:hAnsi="Times New Roman" w:cs="Times New Roman"/>
          <w:color w:val="000000"/>
          <w:sz w:val="24"/>
          <w:szCs w:val="24"/>
          <w:bdr w:val="single" w:sz="2" w:space="0" w:color="E2E8F0" w:frame="1"/>
          <w:lang w:eastAsia="en-IN"/>
        </w:rPr>
        <w:t>als</w:t>
      </w:r>
      <w:r w:rsidR="002F459A" w:rsidRPr="004418DA">
        <w:rPr>
          <w:rFonts w:ascii="Times New Roman" w:eastAsia="Times New Roman" w:hAnsi="Times New Roman" w:cs="Times New Roman"/>
          <w:color w:val="011B2B"/>
          <w:sz w:val="24"/>
          <w:szCs w:val="24"/>
          <w:shd w:val="clear" w:color="auto" w:fill="FFFFFF"/>
          <w:lang w:eastAsia="en-IN"/>
        </w:rPr>
        <w:t>The</w:t>
      </w:r>
      <w:proofErr w:type="spellEnd"/>
      <w:r w:rsidR="002F459A" w:rsidRPr="004418DA">
        <w:rPr>
          <w:rFonts w:ascii="Times New Roman" w:eastAsia="Times New Roman" w:hAnsi="Times New Roman" w:cs="Times New Roman"/>
          <w:color w:val="011B2B"/>
          <w:sz w:val="24"/>
          <w:szCs w:val="24"/>
          <w:shd w:val="clear" w:color="auto" w:fill="FFFFFF"/>
          <w:lang w:eastAsia="en-IN"/>
        </w:rPr>
        <w:t xml:space="preserve"> growing economic size and technological significance of emerging markets are among the biggest forces shaping the global economic and financial market landscape. The ongoing capital market liberalization and improving market accessibility in emerging markets are causing a rethink of the future of equity investing.</w:t>
      </w:r>
    </w:p>
    <w:p w:rsidR="005A4B5A" w:rsidRPr="004418DA" w:rsidRDefault="005A4B5A" w:rsidP="004418DA">
      <w:pPr>
        <w:spacing w:after="0" w:line="360" w:lineRule="auto"/>
        <w:jc w:val="both"/>
        <w:rPr>
          <w:rFonts w:ascii="Times New Roman" w:eastAsia="Times New Roman" w:hAnsi="Times New Roman" w:cs="Times New Roman"/>
          <w:color w:val="011B2B"/>
          <w:sz w:val="24"/>
          <w:szCs w:val="24"/>
          <w:shd w:val="clear" w:color="auto" w:fill="FFFFFF"/>
          <w:lang w:eastAsia="en-IN"/>
        </w:rPr>
      </w:pPr>
    </w:p>
    <w:p w:rsidR="004418DA" w:rsidRDefault="004418DA" w:rsidP="004418DA">
      <w:pPr>
        <w:spacing w:line="360" w:lineRule="auto"/>
        <w:jc w:val="both"/>
        <w:rPr>
          <w:rFonts w:ascii="Times New Roman" w:hAnsi="Times New Roman" w:cs="Times New Roman"/>
          <w:b/>
          <w:sz w:val="24"/>
          <w:szCs w:val="24"/>
        </w:rPr>
      </w:pPr>
    </w:p>
    <w:p w:rsidR="004418DA" w:rsidRDefault="004418DA" w:rsidP="004418DA">
      <w:pPr>
        <w:spacing w:line="360" w:lineRule="auto"/>
        <w:jc w:val="both"/>
        <w:rPr>
          <w:rFonts w:ascii="Times New Roman" w:hAnsi="Times New Roman" w:cs="Times New Roman"/>
          <w:b/>
          <w:sz w:val="24"/>
          <w:szCs w:val="24"/>
        </w:rPr>
      </w:pPr>
    </w:p>
    <w:p w:rsidR="005A4B5A" w:rsidRPr="004418DA" w:rsidRDefault="005A4B5A" w:rsidP="004418DA">
      <w:pPr>
        <w:spacing w:line="360" w:lineRule="auto"/>
        <w:jc w:val="both"/>
        <w:rPr>
          <w:rFonts w:ascii="Times New Roman" w:hAnsi="Times New Roman" w:cs="Times New Roman"/>
          <w:b/>
          <w:sz w:val="24"/>
          <w:szCs w:val="24"/>
        </w:rPr>
      </w:pPr>
      <w:r w:rsidRPr="004418DA">
        <w:rPr>
          <w:rFonts w:ascii="Times New Roman" w:hAnsi="Times New Roman" w:cs="Times New Roman"/>
          <w:b/>
          <w:sz w:val="24"/>
          <w:szCs w:val="24"/>
        </w:rPr>
        <w:lastRenderedPageBreak/>
        <w:t>Emerging Stock Markets</w:t>
      </w:r>
    </w:p>
    <w:p w:rsidR="00A66B77" w:rsidRPr="004418DA" w:rsidRDefault="002F459A" w:rsidP="004418DA">
      <w:pPr>
        <w:spacing w:after="0" w:line="360" w:lineRule="auto"/>
        <w:jc w:val="both"/>
        <w:rPr>
          <w:rFonts w:ascii="Times New Roman" w:eastAsia="Times New Roman" w:hAnsi="Times New Roman" w:cs="Times New Roman"/>
          <w:sz w:val="24"/>
          <w:szCs w:val="24"/>
          <w:lang w:eastAsia="en-IN"/>
        </w:rPr>
      </w:pPr>
      <w:r w:rsidRPr="004418DA">
        <w:rPr>
          <w:rFonts w:ascii="Times New Roman" w:eastAsia="Times New Roman" w:hAnsi="Times New Roman" w:cs="Times New Roman"/>
          <w:b/>
          <w:color w:val="011B2B"/>
          <w:sz w:val="24"/>
          <w:szCs w:val="24"/>
          <w:lang w:eastAsia="en-IN"/>
        </w:rPr>
        <w:br/>
      </w:r>
      <w:r w:rsidR="00A66B77" w:rsidRPr="004418DA">
        <w:rPr>
          <w:rFonts w:ascii="Times New Roman" w:hAnsi="Times New Roman" w:cs="Times New Roman"/>
          <w:color w:val="2F3033"/>
          <w:sz w:val="24"/>
          <w:szCs w:val="24"/>
        </w:rPr>
        <w:t>What is an emerging market?</w:t>
      </w:r>
    </w:p>
    <w:p w:rsidR="00A66B77" w:rsidRPr="004418DA" w:rsidRDefault="00A66B77" w:rsidP="004418DA">
      <w:pPr>
        <w:pStyle w:val="NormalWeb"/>
        <w:shd w:val="clear" w:color="auto" w:fill="FFFFFF"/>
        <w:spacing w:before="0" w:beforeAutospacing="0" w:after="96" w:afterAutospacing="0" w:line="360" w:lineRule="auto"/>
        <w:jc w:val="both"/>
        <w:rPr>
          <w:color w:val="2F3033"/>
        </w:rPr>
      </w:pPr>
      <w:r w:rsidRPr="004418DA">
        <w:rPr>
          <w:color w:val="2F3033"/>
        </w:rPr>
        <w:t>The phrase emerging markets was coined by economists in the early 1980s to define investing in developing countries. Although the term is widespread, there is no one agreed upon definition.</w:t>
      </w:r>
    </w:p>
    <w:p w:rsidR="00A66B77" w:rsidRPr="004418DA" w:rsidRDefault="00A66B77" w:rsidP="004418DA">
      <w:pPr>
        <w:pStyle w:val="NormalWeb"/>
        <w:shd w:val="clear" w:color="auto" w:fill="FFFFFF"/>
        <w:spacing w:before="0" w:beforeAutospacing="0" w:after="96" w:afterAutospacing="0" w:line="360" w:lineRule="auto"/>
        <w:jc w:val="both"/>
        <w:rPr>
          <w:color w:val="2F3033"/>
        </w:rPr>
      </w:pPr>
    </w:p>
    <w:p w:rsidR="00A66B77" w:rsidRPr="004418DA" w:rsidRDefault="00A66B77" w:rsidP="004418DA">
      <w:pPr>
        <w:numPr>
          <w:ilvl w:val="0"/>
          <w:numId w:val="14"/>
        </w:numPr>
        <w:shd w:val="clear" w:color="auto" w:fill="FFFFFF"/>
        <w:spacing w:after="96" w:line="360" w:lineRule="auto"/>
        <w:jc w:val="both"/>
        <w:rPr>
          <w:rFonts w:ascii="Times New Roman" w:hAnsi="Times New Roman" w:cs="Times New Roman"/>
          <w:color w:val="000000"/>
          <w:sz w:val="24"/>
          <w:szCs w:val="24"/>
        </w:rPr>
      </w:pPr>
      <w:r w:rsidRPr="004418DA">
        <w:rPr>
          <w:rFonts w:ascii="Times New Roman" w:hAnsi="Times New Roman" w:cs="Times New Roman"/>
          <w:color w:val="000000"/>
          <w:sz w:val="24"/>
          <w:szCs w:val="24"/>
        </w:rPr>
        <w:t>Most experts agree the term “emerging market investments” refers to countries or regions undergoing fast economic growth.</w:t>
      </w:r>
    </w:p>
    <w:p w:rsidR="00A66B77" w:rsidRPr="004418DA" w:rsidRDefault="00A66B77" w:rsidP="004418DA">
      <w:pPr>
        <w:numPr>
          <w:ilvl w:val="0"/>
          <w:numId w:val="14"/>
        </w:numPr>
        <w:shd w:val="clear" w:color="auto" w:fill="FFFFFF"/>
        <w:spacing w:after="96" w:line="360" w:lineRule="auto"/>
        <w:jc w:val="both"/>
        <w:rPr>
          <w:rFonts w:ascii="Times New Roman" w:hAnsi="Times New Roman" w:cs="Times New Roman"/>
          <w:color w:val="000000"/>
          <w:sz w:val="24"/>
          <w:szCs w:val="24"/>
        </w:rPr>
      </w:pPr>
      <w:r w:rsidRPr="004418DA">
        <w:rPr>
          <w:rFonts w:ascii="Times New Roman" w:hAnsi="Times New Roman" w:cs="Times New Roman"/>
          <w:color w:val="000000"/>
          <w:sz w:val="24"/>
          <w:szCs w:val="24"/>
        </w:rPr>
        <w:t>A formula using a country’s gross domestic product (GDP) and per capita income is often used to determine if a country is an emerging market.</w:t>
      </w:r>
    </w:p>
    <w:p w:rsidR="00A66B77" w:rsidRPr="004418DA" w:rsidRDefault="00A66B77" w:rsidP="004418DA">
      <w:pPr>
        <w:numPr>
          <w:ilvl w:val="0"/>
          <w:numId w:val="14"/>
        </w:numPr>
        <w:shd w:val="clear" w:color="auto" w:fill="FFFFFF"/>
        <w:spacing w:after="96" w:line="360" w:lineRule="auto"/>
        <w:jc w:val="both"/>
        <w:rPr>
          <w:rFonts w:ascii="Times New Roman" w:hAnsi="Times New Roman" w:cs="Times New Roman"/>
          <w:color w:val="000000"/>
          <w:sz w:val="24"/>
          <w:szCs w:val="24"/>
        </w:rPr>
      </w:pPr>
      <w:r w:rsidRPr="004418DA">
        <w:rPr>
          <w:rFonts w:ascii="Times New Roman" w:hAnsi="Times New Roman" w:cs="Times New Roman"/>
          <w:color w:val="000000"/>
          <w:sz w:val="24"/>
          <w:szCs w:val="24"/>
        </w:rPr>
        <w:t>The BRIC countries — Brazil, Russia, India and China — are examples of developing economies with explosive growth in the past decade.</w:t>
      </w:r>
    </w:p>
    <w:p w:rsidR="00A66B77" w:rsidRPr="004418DA" w:rsidRDefault="00A66B77" w:rsidP="004418DA">
      <w:pPr>
        <w:numPr>
          <w:ilvl w:val="0"/>
          <w:numId w:val="14"/>
        </w:numPr>
        <w:shd w:val="clear" w:color="auto" w:fill="FFFFFF"/>
        <w:spacing w:after="96" w:line="360" w:lineRule="auto"/>
        <w:jc w:val="both"/>
        <w:rPr>
          <w:rFonts w:ascii="Times New Roman" w:hAnsi="Times New Roman" w:cs="Times New Roman"/>
          <w:color w:val="000000"/>
          <w:sz w:val="24"/>
          <w:szCs w:val="24"/>
        </w:rPr>
      </w:pPr>
      <w:r w:rsidRPr="004418DA">
        <w:rPr>
          <w:rFonts w:ascii="Times New Roman" w:hAnsi="Times New Roman" w:cs="Times New Roman"/>
          <w:color w:val="000000"/>
          <w:sz w:val="24"/>
          <w:szCs w:val="24"/>
        </w:rPr>
        <w:t>Some emerging markets such as South Korea have a large number of consumers and a wealthy economy.</w:t>
      </w:r>
    </w:p>
    <w:p w:rsidR="00A66B77" w:rsidRPr="004418DA" w:rsidRDefault="00A66B77" w:rsidP="004418DA">
      <w:pPr>
        <w:numPr>
          <w:ilvl w:val="0"/>
          <w:numId w:val="14"/>
        </w:numPr>
        <w:shd w:val="clear" w:color="auto" w:fill="FFFFFF"/>
        <w:spacing w:after="0" w:line="360" w:lineRule="auto"/>
        <w:jc w:val="both"/>
        <w:rPr>
          <w:rFonts w:ascii="Times New Roman" w:hAnsi="Times New Roman" w:cs="Times New Roman"/>
          <w:color w:val="000000"/>
          <w:sz w:val="24"/>
          <w:szCs w:val="24"/>
        </w:rPr>
      </w:pPr>
      <w:r w:rsidRPr="004418DA">
        <w:rPr>
          <w:rFonts w:ascii="Times New Roman" w:hAnsi="Times New Roman" w:cs="Times New Roman"/>
          <w:color w:val="000000"/>
          <w:sz w:val="24"/>
          <w:szCs w:val="24"/>
        </w:rPr>
        <w:t>Others such as areas of Southeast Asia, the Middle East and Africa are still in the early stages of developing a strong economy and stable environment.</w:t>
      </w:r>
    </w:p>
    <w:p w:rsidR="00A66B77" w:rsidRPr="004418DA" w:rsidRDefault="00A66B77" w:rsidP="004418DA">
      <w:pPr>
        <w:pStyle w:val="Heading2"/>
        <w:shd w:val="clear" w:color="auto" w:fill="FFFFFF"/>
        <w:spacing w:line="360" w:lineRule="auto"/>
        <w:jc w:val="both"/>
        <w:rPr>
          <w:bCs w:val="0"/>
          <w:color w:val="2F3033"/>
          <w:sz w:val="24"/>
          <w:szCs w:val="24"/>
        </w:rPr>
      </w:pPr>
      <w:r w:rsidRPr="004418DA">
        <w:rPr>
          <w:bCs w:val="0"/>
          <w:color w:val="2F3033"/>
          <w:sz w:val="24"/>
          <w:szCs w:val="24"/>
        </w:rPr>
        <w:t>Advantages of investing in emerging markets</w:t>
      </w:r>
    </w:p>
    <w:p w:rsidR="00A66B77" w:rsidRPr="004418DA" w:rsidRDefault="00A66B77" w:rsidP="004418DA">
      <w:pPr>
        <w:pStyle w:val="NormalWeb"/>
        <w:shd w:val="clear" w:color="auto" w:fill="FFFFFF"/>
        <w:spacing w:before="0" w:beforeAutospacing="0" w:after="96" w:afterAutospacing="0" w:line="360" w:lineRule="auto"/>
        <w:jc w:val="both"/>
        <w:rPr>
          <w:color w:val="2F3033"/>
        </w:rPr>
      </w:pPr>
    </w:p>
    <w:p w:rsidR="00A66B77" w:rsidRPr="004418DA" w:rsidRDefault="00A66B77" w:rsidP="004418DA">
      <w:pPr>
        <w:numPr>
          <w:ilvl w:val="0"/>
          <w:numId w:val="15"/>
        </w:numPr>
        <w:shd w:val="clear" w:color="auto" w:fill="FFFFFF"/>
        <w:spacing w:after="96" w:line="360" w:lineRule="auto"/>
        <w:jc w:val="both"/>
        <w:rPr>
          <w:rFonts w:ascii="Times New Roman" w:hAnsi="Times New Roman" w:cs="Times New Roman"/>
          <w:color w:val="000000"/>
          <w:sz w:val="24"/>
          <w:szCs w:val="24"/>
        </w:rPr>
      </w:pPr>
      <w:r w:rsidRPr="004418DA">
        <w:rPr>
          <w:rStyle w:val="Strong"/>
          <w:rFonts w:ascii="Times New Roman" w:hAnsi="Times New Roman" w:cs="Times New Roman"/>
          <w:color w:val="000000"/>
          <w:sz w:val="24"/>
          <w:szCs w:val="24"/>
        </w:rPr>
        <w:t>Growth.</w:t>
      </w:r>
      <w:r w:rsidRPr="004418DA">
        <w:rPr>
          <w:rFonts w:ascii="Times New Roman" w:hAnsi="Times New Roman" w:cs="Times New Roman"/>
          <w:color w:val="000000"/>
          <w:sz w:val="24"/>
          <w:szCs w:val="24"/>
        </w:rPr>
        <w:t> The biggest advantage of emerging market investments is the potential for high growth.</w:t>
      </w:r>
    </w:p>
    <w:p w:rsidR="00A66B77" w:rsidRPr="004418DA" w:rsidRDefault="00A66B77" w:rsidP="004418DA">
      <w:pPr>
        <w:numPr>
          <w:ilvl w:val="0"/>
          <w:numId w:val="15"/>
        </w:numPr>
        <w:shd w:val="clear" w:color="auto" w:fill="FFFFFF"/>
        <w:spacing w:after="0" w:line="360" w:lineRule="auto"/>
        <w:jc w:val="both"/>
        <w:rPr>
          <w:rFonts w:ascii="Times New Roman" w:hAnsi="Times New Roman" w:cs="Times New Roman"/>
          <w:color w:val="000000"/>
          <w:sz w:val="24"/>
          <w:szCs w:val="24"/>
        </w:rPr>
      </w:pPr>
      <w:r w:rsidRPr="004418DA">
        <w:rPr>
          <w:rStyle w:val="Strong"/>
          <w:rFonts w:ascii="Times New Roman" w:hAnsi="Times New Roman" w:cs="Times New Roman"/>
          <w:color w:val="000000"/>
          <w:sz w:val="24"/>
          <w:szCs w:val="24"/>
        </w:rPr>
        <w:t>Diversification.</w:t>
      </w:r>
      <w:r w:rsidRPr="004418DA">
        <w:rPr>
          <w:rFonts w:ascii="Times New Roman" w:hAnsi="Times New Roman" w:cs="Times New Roman"/>
          <w:color w:val="000000"/>
          <w:sz w:val="24"/>
          <w:szCs w:val="24"/>
        </w:rPr>
        <w:t> International investments can be a good diversifier for your investment portfolio because economic downturns in one country or region, including the U.S., can be offset by growth in another.</w:t>
      </w:r>
    </w:p>
    <w:p w:rsidR="00A66B77" w:rsidRPr="004418DA" w:rsidRDefault="00A66B77" w:rsidP="004418DA">
      <w:pPr>
        <w:pStyle w:val="Heading2"/>
        <w:shd w:val="clear" w:color="auto" w:fill="FFFFFF"/>
        <w:spacing w:line="360" w:lineRule="auto"/>
        <w:jc w:val="both"/>
        <w:rPr>
          <w:bCs w:val="0"/>
          <w:color w:val="2F3033"/>
          <w:sz w:val="24"/>
          <w:szCs w:val="24"/>
        </w:rPr>
      </w:pPr>
      <w:r w:rsidRPr="004418DA">
        <w:rPr>
          <w:bCs w:val="0"/>
          <w:color w:val="2F3033"/>
          <w:sz w:val="24"/>
          <w:szCs w:val="24"/>
        </w:rPr>
        <w:t>Risks of investing in emerging markets</w:t>
      </w:r>
    </w:p>
    <w:p w:rsidR="00A66B77" w:rsidRPr="004418DA" w:rsidRDefault="00A66B77" w:rsidP="004418DA">
      <w:pPr>
        <w:pStyle w:val="NormalWeb"/>
        <w:shd w:val="clear" w:color="auto" w:fill="FFFFFF"/>
        <w:spacing w:before="0" w:beforeAutospacing="0" w:after="96" w:afterAutospacing="0" w:line="360" w:lineRule="auto"/>
        <w:jc w:val="both"/>
        <w:rPr>
          <w:color w:val="2F3033"/>
        </w:rPr>
      </w:pPr>
      <w:r w:rsidRPr="004418DA">
        <w:rPr>
          <w:color w:val="2F3033"/>
        </w:rPr>
        <w:t>Experts often categorize emerging market risk in three ways:</w:t>
      </w:r>
    </w:p>
    <w:p w:rsidR="00A66B77" w:rsidRPr="004418DA" w:rsidRDefault="00A66B77" w:rsidP="004418DA">
      <w:pPr>
        <w:numPr>
          <w:ilvl w:val="0"/>
          <w:numId w:val="16"/>
        </w:numPr>
        <w:shd w:val="clear" w:color="auto" w:fill="FFFFFF"/>
        <w:spacing w:after="96" w:line="360" w:lineRule="auto"/>
        <w:jc w:val="both"/>
        <w:rPr>
          <w:rFonts w:ascii="Times New Roman" w:hAnsi="Times New Roman" w:cs="Times New Roman"/>
          <w:color w:val="000000"/>
          <w:sz w:val="24"/>
          <w:szCs w:val="24"/>
        </w:rPr>
      </w:pPr>
      <w:r w:rsidRPr="004418DA">
        <w:rPr>
          <w:rStyle w:val="Strong"/>
          <w:rFonts w:ascii="Times New Roman" w:hAnsi="Times New Roman" w:cs="Times New Roman"/>
          <w:color w:val="000000"/>
          <w:sz w:val="24"/>
          <w:szCs w:val="24"/>
        </w:rPr>
        <w:t>Political risk.</w:t>
      </w:r>
      <w:r w:rsidRPr="004418DA">
        <w:rPr>
          <w:rFonts w:ascii="Times New Roman" w:hAnsi="Times New Roman" w:cs="Times New Roman"/>
          <w:color w:val="000000"/>
          <w:sz w:val="24"/>
          <w:szCs w:val="24"/>
        </w:rPr>
        <w:t> Emerging markets may have unstable, even volatile, governments. Political unrest can cause serious consequences to the economy and investors.</w:t>
      </w:r>
    </w:p>
    <w:p w:rsidR="00A66B77" w:rsidRPr="004418DA" w:rsidRDefault="00A66B77" w:rsidP="004418DA">
      <w:pPr>
        <w:numPr>
          <w:ilvl w:val="0"/>
          <w:numId w:val="16"/>
        </w:numPr>
        <w:shd w:val="clear" w:color="auto" w:fill="FFFFFF"/>
        <w:spacing w:after="96" w:line="360" w:lineRule="auto"/>
        <w:jc w:val="both"/>
        <w:rPr>
          <w:rFonts w:ascii="Times New Roman" w:hAnsi="Times New Roman" w:cs="Times New Roman"/>
          <w:color w:val="000000"/>
          <w:sz w:val="24"/>
          <w:szCs w:val="24"/>
        </w:rPr>
      </w:pPr>
      <w:r w:rsidRPr="004418DA">
        <w:rPr>
          <w:rStyle w:val="Strong"/>
          <w:rFonts w:ascii="Times New Roman" w:hAnsi="Times New Roman" w:cs="Times New Roman"/>
          <w:color w:val="000000"/>
          <w:sz w:val="24"/>
          <w:szCs w:val="24"/>
        </w:rPr>
        <w:lastRenderedPageBreak/>
        <w:t>Economic risk.</w:t>
      </w:r>
      <w:r w:rsidRPr="004418DA">
        <w:rPr>
          <w:rFonts w:ascii="Times New Roman" w:hAnsi="Times New Roman" w:cs="Times New Roman"/>
          <w:color w:val="000000"/>
          <w:sz w:val="24"/>
          <w:szCs w:val="24"/>
        </w:rPr>
        <w:t xml:space="preserve"> These markets may often suffer from insufficient </w:t>
      </w:r>
      <w:proofErr w:type="spellStart"/>
      <w:r w:rsidRPr="004418DA">
        <w:rPr>
          <w:rFonts w:ascii="Times New Roman" w:hAnsi="Times New Roman" w:cs="Times New Roman"/>
          <w:color w:val="000000"/>
          <w:sz w:val="24"/>
          <w:szCs w:val="24"/>
        </w:rPr>
        <w:t>labor</w:t>
      </w:r>
      <w:proofErr w:type="spellEnd"/>
      <w:r w:rsidRPr="004418DA">
        <w:rPr>
          <w:rFonts w:ascii="Times New Roman" w:hAnsi="Times New Roman" w:cs="Times New Roman"/>
          <w:color w:val="000000"/>
          <w:sz w:val="24"/>
          <w:szCs w:val="24"/>
        </w:rPr>
        <w:t xml:space="preserve"> and raw materials, high inflation or deflation, unregulated markets and unsound monetary policies. All of these factors can present challenges to investors.</w:t>
      </w:r>
    </w:p>
    <w:p w:rsidR="00A66B77" w:rsidRPr="004418DA" w:rsidRDefault="00A66B77" w:rsidP="004418DA">
      <w:pPr>
        <w:numPr>
          <w:ilvl w:val="0"/>
          <w:numId w:val="16"/>
        </w:numPr>
        <w:shd w:val="clear" w:color="auto" w:fill="FFFFFF"/>
        <w:spacing w:after="0" w:line="360" w:lineRule="auto"/>
        <w:jc w:val="both"/>
        <w:rPr>
          <w:rFonts w:ascii="Times New Roman" w:hAnsi="Times New Roman" w:cs="Times New Roman"/>
          <w:color w:val="000000"/>
          <w:sz w:val="24"/>
          <w:szCs w:val="24"/>
        </w:rPr>
      </w:pPr>
      <w:r w:rsidRPr="004418DA">
        <w:rPr>
          <w:rStyle w:val="Strong"/>
          <w:rFonts w:ascii="Times New Roman" w:hAnsi="Times New Roman" w:cs="Times New Roman"/>
          <w:color w:val="000000"/>
          <w:sz w:val="24"/>
          <w:szCs w:val="24"/>
        </w:rPr>
        <w:t>Currency risk.</w:t>
      </w:r>
      <w:r w:rsidRPr="004418DA">
        <w:rPr>
          <w:rFonts w:ascii="Times New Roman" w:hAnsi="Times New Roman" w:cs="Times New Roman"/>
          <w:color w:val="000000"/>
          <w:sz w:val="24"/>
          <w:szCs w:val="24"/>
        </w:rPr>
        <w:t> The value of emerging market currencies compared to the dollar can be extremely volatile. Any investment gains can be potentially lessened if a currency is devalued or drops significantly.</w:t>
      </w:r>
    </w:p>
    <w:p w:rsidR="00A66B77" w:rsidRPr="004418DA" w:rsidRDefault="00A66B77" w:rsidP="004418DA">
      <w:pPr>
        <w:shd w:val="clear" w:color="auto" w:fill="FFFFFF"/>
        <w:spacing w:before="100" w:beforeAutospacing="1" w:after="0" w:line="360" w:lineRule="auto"/>
        <w:ind w:left="720"/>
        <w:jc w:val="both"/>
        <w:rPr>
          <w:rFonts w:ascii="Times New Roman" w:eastAsia="Times New Roman" w:hAnsi="Times New Roman" w:cs="Times New Roman"/>
          <w:color w:val="111111"/>
          <w:spacing w:val="1"/>
          <w:sz w:val="24"/>
          <w:szCs w:val="24"/>
          <w:lang w:eastAsia="en-IN"/>
        </w:rPr>
      </w:pPr>
    </w:p>
    <w:p w:rsidR="00A934B2" w:rsidRPr="004418DA" w:rsidRDefault="00A934B2" w:rsidP="004418DA">
      <w:pPr>
        <w:spacing w:line="360" w:lineRule="auto"/>
        <w:jc w:val="both"/>
        <w:rPr>
          <w:rFonts w:ascii="Times New Roman" w:hAnsi="Times New Roman" w:cs="Times New Roman"/>
          <w:color w:val="191919"/>
          <w:spacing w:val="1"/>
          <w:sz w:val="24"/>
          <w:szCs w:val="24"/>
        </w:rPr>
      </w:pPr>
      <w:r w:rsidRPr="004418DA">
        <w:rPr>
          <w:rFonts w:ascii="Times New Roman" w:hAnsi="Times New Roman" w:cs="Times New Roman"/>
          <w:color w:val="191919"/>
          <w:spacing w:val="1"/>
          <w:sz w:val="24"/>
          <w:szCs w:val="24"/>
        </w:rPr>
        <w:t>Emerging markets are economies that possess some of the qualities of developed countries and are transitioning from a low income, often pre-industrial economy towards a modern, industrial economy with a higher standard of living. Though the classification used to qualify emerging markets varies, levels of income, quality of </w:t>
      </w:r>
      <w:hyperlink r:id="rId33" w:history="1">
        <w:r w:rsidRPr="004418DA">
          <w:rPr>
            <w:rStyle w:val="Hyperlink"/>
            <w:rFonts w:ascii="Times New Roman" w:hAnsi="Times New Roman" w:cs="Times New Roman"/>
            <w:color w:val="2C40D0"/>
            <w:spacing w:val="1"/>
            <w:sz w:val="24"/>
            <w:szCs w:val="24"/>
          </w:rPr>
          <w:t>financial systems</w:t>
        </w:r>
      </w:hyperlink>
      <w:r w:rsidRPr="004418DA">
        <w:rPr>
          <w:rFonts w:ascii="Times New Roman" w:hAnsi="Times New Roman" w:cs="Times New Roman"/>
          <w:color w:val="191919"/>
          <w:spacing w:val="1"/>
          <w:sz w:val="24"/>
          <w:szCs w:val="24"/>
        </w:rPr>
        <w:t>, and growth rates are all popular criteria. Some current examples of emerging market economies include India, Mexico, Russia, Pakistan, Saudi Arabia, China, and Brazil.</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An emerging market economy is the economy of a developing nation that is becoming more engaged with global markets as it grows. Countries classified as emerging market economies are those with some, but not all, of the characteristics of a developed market.</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Characteristics of developed markets may include strong economic growth, high per capita income, liquid equity and debt markets, accessibility by foreign investors, and a dependable regulatory system.</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As an emerging market economy develops, it typically becomes more integrated with the global economy. That means it can have increased </w:t>
      </w:r>
      <w:hyperlink r:id="rId34" w:history="1">
        <w:r w:rsidRPr="004418DA">
          <w:rPr>
            <w:rStyle w:val="Hyperlink"/>
            <w:color w:val="2C40D0"/>
            <w:spacing w:val="1"/>
          </w:rPr>
          <w:t>liquidity</w:t>
        </w:r>
      </w:hyperlink>
      <w:r w:rsidRPr="004418DA">
        <w:rPr>
          <w:color w:val="111111"/>
          <w:spacing w:val="1"/>
        </w:rPr>
        <w:t> in local debt and </w:t>
      </w:r>
      <w:hyperlink r:id="rId35" w:history="1">
        <w:r w:rsidRPr="004418DA">
          <w:rPr>
            <w:rStyle w:val="Hyperlink"/>
            <w:color w:val="2C40D0"/>
            <w:spacing w:val="1"/>
          </w:rPr>
          <w:t>equity markets</w:t>
        </w:r>
      </w:hyperlink>
      <w:r w:rsidRPr="004418DA">
        <w:rPr>
          <w:color w:val="111111"/>
          <w:spacing w:val="1"/>
        </w:rPr>
        <w:t>, increased trade volume and </w:t>
      </w:r>
      <w:hyperlink r:id="rId36" w:history="1">
        <w:r w:rsidRPr="004418DA">
          <w:rPr>
            <w:rStyle w:val="Hyperlink"/>
            <w:color w:val="2C40D0"/>
            <w:spacing w:val="1"/>
          </w:rPr>
          <w:t>foreign direct investment</w:t>
        </w:r>
      </w:hyperlink>
      <w:r w:rsidRPr="004418DA">
        <w:rPr>
          <w:color w:val="111111"/>
          <w:spacing w:val="1"/>
        </w:rPr>
        <w:t>. It can develop modern financial and regulatory institutions. Currently, some notable emerging market economies include India, Mexico, Russia, Pakistan, Saudi Arabia, China, and Brazil.</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Critically, an emerging market economy is transitioning from a low income, less developed, often pre-industrial economy towards a modern, industrial economy with a higher standard of living.</w:t>
      </w:r>
    </w:p>
    <w:p w:rsidR="00A934B2" w:rsidRPr="004418DA" w:rsidRDefault="00A934B2" w:rsidP="004418DA">
      <w:pPr>
        <w:spacing w:line="360" w:lineRule="auto"/>
        <w:jc w:val="both"/>
        <w:rPr>
          <w:rFonts w:ascii="Times New Roman" w:hAnsi="Times New Roman" w:cs="Times New Roman"/>
          <w:color w:val="191919"/>
          <w:spacing w:val="1"/>
          <w:sz w:val="24"/>
          <w:szCs w:val="24"/>
        </w:rPr>
      </w:pPr>
      <w:r w:rsidRPr="004418DA">
        <w:rPr>
          <w:rFonts w:ascii="Times New Roman" w:hAnsi="Times New Roman" w:cs="Times New Roman"/>
          <w:color w:val="191919"/>
          <w:spacing w:val="1"/>
          <w:sz w:val="24"/>
          <w:szCs w:val="24"/>
        </w:rPr>
        <w:t xml:space="preserve">The four main emerging market economies are Brazil, Russia, India, and China (BRIC). Other countries considered emerging markets include Colombia, Indonesia, Vietnam, Egypt, </w:t>
      </w:r>
      <w:r w:rsidRPr="004418DA">
        <w:rPr>
          <w:rFonts w:ascii="Times New Roman" w:hAnsi="Times New Roman" w:cs="Times New Roman"/>
          <w:color w:val="191919"/>
          <w:spacing w:val="1"/>
          <w:sz w:val="24"/>
          <w:szCs w:val="24"/>
        </w:rPr>
        <w:lastRenderedPageBreak/>
        <w:t>Turkey, and South Africa. While the criteria varies among different entities, the IMF identifies a total of 40 countries as “emerging market and middle-income.”</w:t>
      </w:r>
    </w:p>
    <w:p w:rsidR="00A934B2" w:rsidRPr="004418DA" w:rsidRDefault="00A934B2" w:rsidP="004418DA">
      <w:pPr>
        <w:spacing w:line="360" w:lineRule="auto"/>
        <w:jc w:val="both"/>
        <w:rPr>
          <w:rFonts w:ascii="Times New Roman" w:hAnsi="Times New Roman" w:cs="Times New Roman"/>
          <w:color w:val="191919"/>
          <w:spacing w:val="1"/>
          <w:sz w:val="24"/>
          <w:szCs w:val="24"/>
        </w:rPr>
      </w:pPr>
    </w:p>
    <w:p w:rsidR="00A934B2" w:rsidRPr="004418DA" w:rsidRDefault="00A934B2" w:rsidP="004418DA">
      <w:pPr>
        <w:spacing w:line="360" w:lineRule="auto"/>
        <w:jc w:val="both"/>
        <w:rPr>
          <w:rFonts w:ascii="Times New Roman" w:hAnsi="Times New Roman" w:cs="Times New Roman"/>
          <w:color w:val="191919"/>
          <w:spacing w:val="1"/>
          <w:sz w:val="24"/>
          <w:szCs w:val="24"/>
        </w:rPr>
      </w:pPr>
      <w:r w:rsidRPr="004418DA">
        <w:rPr>
          <w:rFonts w:ascii="Times New Roman" w:hAnsi="Times New Roman" w:cs="Times New Roman"/>
          <w:color w:val="191919"/>
          <w:spacing w:val="1"/>
          <w:sz w:val="24"/>
          <w:szCs w:val="24"/>
        </w:rPr>
        <w:t>The easiest way to invest in emerging markets is through an ETF or mutual fund that is designed to track the performance of top companies in emerging market countries. Investors looking to buy global stocks can invest in an ETF that follows the MSCI Emerging Markets Index, an index that tracks mid-cap and large-cap stocks in 25 countries that can be classified as emerging. </w:t>
      </w:r>
    </w:p>
    <w:p w:rsidR="00A934B2" w:rsidRPr="004418DA" w:rsidRDefault="00A934B2" w:rsidP="004418DA">
      <w:pPr>
        <w:pStyle w:val="Heading2"/>
        <w:shd w:val="clear" w:color="auto" w:fill="FFFFFF"/>
        <w:spacing w:line="360" w:lineRule="auto"/>
        <w:jc w:val="both"/>
        <w:rPr>
          <w:b w:val="0"/>
          <w:bCs w:val="0"/>
          <w:color w:val="111111"/>
          <w:spacing w:val="1"/>
          <w:sz w:val="24"/>
          <w:szCs w:val="24"/>
        </w:rPr>
      </w:pPr>
      <w:r w:rsidRPr="004418DA">
        <w:rPr>
          <w:rStyle w:val="mntl-sc-block-headingtext"/>
          <w:b w:val="0"/>
          <w:bCs w:val="0"/>
          <w:color w:val="111111"/>
          <w:spacing w:val="1"/>
          <w:sz w:val="24"/>
          <w:szCs w:val="24"/>
        </w:rPr>
        <w:t>What Is the MSCI Emerging Markets Index?</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The MSCI Emerging Markets Index is a selection of stocks that is designed to track the financial performance of key companies in fast-growing nations. It is one of a number of indexes created by MSCI Inc., formerly Morgan Stanley Capital International.</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U.S. investors who want to buy into global stocks can buy shares of an </w:t>
      </w:r>
      <w:hyperlink r:id="rId37" w:history="1">
        <w:r w:rsidRPr="004418DA">
          <w:rPr>
            <w:rStyle w:val="Hyperlink"/>
            <w:color w:val="2C40D0"/>
            <w:spacing w:val="1"/>
          </w:rPr>
          <w:t>exchange-traded fund</w:t>
        </w:r>
      </w:hyperlink>
      <w:r w:rsidRPr="004418DA">
        <w:rPr>
          <w:color w:val="111111"/>
          <w:spacing w:val="1"/>
        </w:rPr>
        <w:t> (ETF) that mirrors the index. There are also many ETFs and mutual funds that use the MSCI Emerging Markets Index as a benchmark for their own performance.</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The MSCI Emerging Markets Index reflects the performance of </w:t>
      </w:r>
      <w:hyperlink r:id="rId38" w:history="1">
        <w:r w:rsidRPr="004418DA">
          <w:rPr>
            <w:rStyle w:val="Hyperlink"/>
            <w:color w:val="2C40D0"/>
            <w:spacing w:val="1"/>
          </w:rPr>
          <w:t>large-cap</w:t>
        </w:r>
      </w:hyperlink>
      <w:r w:rsidRPr="004418DA">
        <w:rPr>
          <w:color w:val="111111"/>
          <w:spacing w:val="1"/>
        </w:rPr>
        <w:t> and medium-cap companies in 25 nations. All are defined as emerging markets. That is, their economies or some sectors of their economies are seen to be rapidly expanding and engaging aggressively with global markets.</w:t>
      </w:r>
    </w:p>
    <w:p w:rsidR="00A934B2" w:rsidRPr="004418DA" w:rsidRDefault="00A934B2" w:rsidP="004418DA">
      <w:pPr>
        <w:pStyle w:val="comp"/>
        <w:shd w:val="clear" w:color="auto" w:fill="FFFFFF"/>
        <w:spacing w:before="0" w:beforeAutospacing="0" w:line="360" w:lineRule="auto"/>
        <w:jc w:val="both"/>
        <w:rPr>
          <w:color w:val="111111"/>
          <w:spacing w:val="1"/>
        </w:rPr>
      </w:pPr>
      <w:r w:rsidRPr="004418DA">
        <w:rPr>
          <w:color w:val="111111"/>
          <w:spacing w:val="1"/>
        </w:rPr>
        <w:t>The MSCI Emerging Markets Index currently includes the stocks of companies based in Brazil, Chile, China, Colombia, Czech Republic, Egypt, Greece, Hungary, India, Indonesia, Korea, Kuwait, Malaysia, Mexico, Peru, Philippines, Poland, Qatar, Russia, Saudi Arabia, South Africa, Taiwan, Thailand, Turkey, and the United Arab Emirates.</w:t>
      </w:r>
      <w:r w:rsidRPr="004418DA">
        <w:rPr>
          <w:rStyle w:val="mntl-inline-citation"/>
          <w:color w:val="0000EE"/>
          <w:spacing w:val="17"/>
        </w:rPr>
        <w:t>1</w:t>
      </w:r>
    </w:p>
    <w:p w:rsidR="00A934B2" w:rsidRPr="004418DA" w:rsidRDefault="00A934B2" w:rsidP="004418DA">
      <w:pPr>
        <w:pStyle w:val="comp"/>
        <w:shd w:val="clear" w:color="auto" w:fill="FFFFFF"/>
        <w:spacing w:before="0" w:beforeAutospacing="0" w:line="360" w:lineRule="auto"/>
        <w:jc w:val="both"/>
        <w:rPr>
          <w:rStyle w:val="mntl-inline-citation"/>
          <w:color w:val="0000EE"/>
          <w:spacing w:val="17"/>
        </w:rPr>
      </w:pPr>
      <w:r w:rsidRPr="004418DA">
        <w:rPr>
          <w:color w:val="111111"/>
          <w:spacing w:val="1"/>
        </w:rPr>
        <w:t>The index was created in 1988. At that time, companies in only 10 nations were represented. Today, the index is widely used to measure the economic performance of emerging market companies. It is also used by emerging market ETFs and mutual funds as a benchmark against which to measure their own performance.</w:t>
      </w:r>
    </w:p>
    <w:p w:rsidR="00A66B77" w:rsidRPr="004418DA" w:rsidRDefault="00A66B77" w:rsidP="004418DA">
      <w:pPr>
        <w:spacing w:after="0" w:line="360" w:lineRule="auto"/>
        <w:jc w:val="both"/>
        <w:rPr>
          <w:rFonts w:ascii="Times New Roman" w:eastAsia="Times New Roman" w:hAnsi="Times New Roman" w:cs="Times New Roman"/>
          <w:sz w:val="24"/>
          <w:szCs w:val="24"/>
          <w:lang w:eastAsia="en-IN"/>
        </w:rPr>
      </w:pPr>
      <w:r w:rsidRPr="004418DA">
        <w:rPr>
          <w:rFonts w:ascii="Times New Roman" w:eastAsia="Times New Roman" w:hAnsi="Times New Roman" w:cs="Times New Roman"/>
          <w:color w:val="011B2B"/>
          <w:sz w:val="24"/>
          <w:szCs w:val="24"/>
          <w:shd w:val="clear" w:color="auto" w:fill="FFFFFF"/>
          <w:lang w:eastAsia="en-IN"/>
        </w:rPr>
        <w:lastRenderedPageBreak/>
        <w:t xml:space="preserve">The MSCI Emerging </w:t>
      </w:r>
      <w:proofErr w:type="gramStart"/>
      <w:r w:rsidRPr="004418DA">
        <w:rPr>
          <w:rFonts w:ascii="Times New Roman" w:eastAsia="Times New Roman" w:hAnsi="Times New Roman" w:cs="Times New Roman"/>
          <w:color w:val="011B2B"/>
          <w:sz w:val="24"/>
          <w:szCs w:val="24"/>
          <w:shd w:val="clear" w:color="auto" w:fill="FFFFFF"/>
          <w:lang w:eastAsia="en-IN"/>
        </w:rPr>
        <w:t>Markets(</w:t>
      </w:r>
      <w:proofErr w:type="gramEnd"/>
      <w:r w:rsidRPr="004418DA">
        <w:rPr>
          <w:rFonts w:ascii="Times New Roman" w:eastAsia="Times New Roman" w:hAnsi="Times New Roman" w:cs="Times New Roman"/>
          <w:color w:val="011B2B"/>
          <w:sz w:val="24"/>
          <w:szCs w:val="24"/>
          <w:shd w:val="clear" w:color="auto" w:fill="FFFFFF"/>
          <w:lang w:eastAsia="en-IN"/>
        </w:rPr>
        <w:t>EM) Index was launched in 1988 including 10 countries with a weight of about 0.9% in the MSCI ACWI Index. Currently, it captures 24 countries across the globe and has a weight of 12% in the MSCI ACWI Index.</w:t>
      </w:r>
    </w:p>
    <w:p w:rsidR="00A66B77" w:rsidRPr="004418DA" w:rsidRDefault="00A66B77" w:rsidP="004418DA">
      <w:pPr>
        <w:pBdr>
          <w:top w:val="single" w:sz="2" w:space="0" w:color="E2E8F0"/>
          <w:left w:val="single" w:sz="2" w:space="0" w:color="E2E8F0"/>
          <w:bottom w:val="single" w:sz="2" w:space="0" w:color="E2E8F0"/>
          <w:right w:val="single" w:sz="2" w:space="0" w:color="E2E8F0"/>
        </w:pBdr>
        <w:shd w:val="clear" w:color="auto" w:fill="FFFFFF"/>
        <w:spacing w:before="100" w:beforeAutospacing="1" w:after="100" w:afterAutospacing="1" w:line="360" w:lineRule="auto"/>
        <w:jc w:val="both"/>
        <w:rPr>
          <w:rFonts w:ascii="Times New Roman" w:eastAsia="Times New Roman" w:hAnsi="Times New Roman" w:cs="Times New Roman"/>
          <w:color w:val="191C1F"/>
          <w:sz w:val="24"/>
          <w:szCs w:val="24"/>
          <w:lang w:eastAsia="en-IN"/>
        </w:rPr>
      </w:pPr>
      <w:r w:rsidRPr="004418DA">
        <w:rPr>
          <w:rFonts w:ascii="Times New Roman" w:eastAsia="Times New Roman" w:hAnsi="Times New Roman" w:cs="Times New Roman"/>
          <w:color w:val="011B2B"/>
          <w:sz w:val="24"/>
          <w:szCs w:val="24"/>
          <w:shd w:val="clear" w:color="auto" w:fill="FFFFFF"/>
          <w:lang w:eastAsia="en-IN"/>
        </w:rPr>
        <w:t>Constructed according to the MSCI Global Investable Market Indexes (GIMI) Methodology, the MSCI EM Index is designed to dynamically reflect the evolution of the emerging markets opportunity set and to help investors meet global and regional asset allocation needs.</w:t>
      </w:r>
    </w:p>
    <w:p w:rsidR="00A66B77" w:rsidRPr="004418DA" w:rsidRDefault="00A66B77" w:rsidP="004418DA">
      <w:pPr>
        <w:pStyle w:val="Heading2"/>
        <w:shd w:val="clear" w:color="auto" w:fill="6C7BD3"/>
        <w:spacing w:before="0" w:beforeAutospacing="0" w:after="210" w:afterAutospacing="0" w:line="360" w:lineRule="auto"/>
        <w:jc w:val="both"/>
        <w:rPr>
          <w:b w:val="0"/>
          <w:bCs w:val="0"/>
          <w:color w:val="FFFFFF"/>
          <w:sz w:val="24"/>
          <w:szCs w:val="24"/>
        </w:rPr>
      </w:pPr>
      <w:r w:rsidRPr="004418DA">
        <w:rPr>
          <w:b w:val="0"/>
          <w:bCs w:val="0"/>
          <w:color w:val="FFFFFF"/>
          <w:sz w:val="24"/>
          <w:szCs w:val="24"/>
        </w:rPr>
        <w:t>Developed Markets</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Americas</w:t>
      </w:r>
    </w:p>
    <w:p w:rsidR="00A66B77" w:rsidRPr="004418DA" w:rsidRDefault="00A66B77" w:rsidP="004418DA">
      <w:pPr>
        <w:numPr>
          <w:ilvl w:val="0"/>
          <w:numId w:val="7"/>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Canada</w:t>
      </w:r>
    </w:p>
    <w:p w:rsidR="00A66B77" w:rsidRPr="004418DA" w:rsidRDefault="00A66B77" w:rsidP="004418DA">
      <w:pPr>
        <w:numPr>
          <w:ilvl w:val="0"/>
          <w:numId w:val="7"/>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United States</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EMEA</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Austria</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Belgium</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Denmark</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Finland</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France</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Germany</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Ireland</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Israel</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Italy</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Netherlands</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Norway</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Portugal</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Spain</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Sweden</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Switzerland</w:t>
      </w:r>
    </w:p>
    <w:p w:rsidR="00A66B77" w:rsidRPr="004418DA" w:rsidRDefault="00A66B77" w:rsidP="004418DA">
      <w:pPr>
        <w:numPr>
          <w:ilvl w:val="0"/>
          <w:numId w:val="8"/>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United Kingdom</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Pacific</w:t>
      </w:r>
    </w:p>
    <w:p w:rsidR="00A66B77" w:rsidRPr="004418DA" w:rsidRDefault="00A66B77" w:rsidP="004418DA">
      <w:pPr>
        <w:numPr>
          <w:ilvl w:val="0"/>
          <w:numId w:val="9"/>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Australia</w:t>
      </w:r>
    </w:p>
    <w:p w:rsidR="00A66B77" w:rsidRPr="004418DA" w:rsidRDefault="00A66B77" w:rsidP="004418DA">
      <w:pPr>
        <w:numPr>
          <w:ilvl w:val="0"/>
          <w:numId w:val="9"/>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Hong Kong</w:t>
      </w:r>
    </w:p>
    <w:p w:rsidR="00A66B77" w:rsidRPr="004418DA" w:rsidRDefault="00A66B77" w:rsidP="004418DA">
      <w:pPr>
        <w:numPr>
          <w:ilvl w:val="0"/>
          <w:numId w:val="9"/>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lastRenderedPageBreak/>
        <w:t>Japan</w:t>
      </w:r>
    </w:p>
    <w:p w:rsidR="00A66B77" w:rsidRPr="004418DA" w:rsidRDefault="00A66B77" w:rsidP="004418DA">
      <w:pPr>
        <w:numPr>
          <w:ilvl w:val="0"/>
          <w:numId w:val="9"/>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New Zealand</w:t>
      </w:r>
    </w:p>
    <w:p w:rsidR="00A66B77" w:rsidRPr="004418DA" w:rsidRDefault="00A66B77" w:rsidP="004418DA">
      <w:pPr>
        <w:numPr>
          <w:ilvl w:val="0"/>
          <w:numId w:val="9"/>
        </w:numPr>
        <w:pBdr>
          <w:top w:val="single" w:sz="2" w:space="2" w:color="FFFFFF"/>
          <w:left w:val="single" w:sz="2" w:space="8" w:color="FFFFFF"/>
          <w:bottom w:val="single" w:sz="6" w:space="2" w:color="FFFFFF"/>
          <w:right w:val="single" w:sz="2" w:space="15" w:color="FFFFFF"/>
        </w:pBdr>
        <w:shd w:val="clear" w:color="auto" w:fill="FFFFFF"/>
        <w:spacing w:after="0" w:line="360" w:lineRule="auto"/>
        <w:ind w:left="0"/>
        <w:jc w:val="both"/>
        <w:rPr>
          <w:rFonts w:ascii="Times New Roman" w:hAnsi="Times New Roman" w:cs="Times New Roman"/>
          <w:color w:val="011B2B"/>
          <w:sz w:val="24"/>
          <w:szCs w:val="24"/>
        </w:rPr>
      </w:pPr>
      <w:r w:rsidRPr="004418DA">
        <w:rPr>
          <w:rFonts w:ascii="Times New Roman" w:hAnsi="Times New Roman" w:cs="Times New Roman"/>
          <w:color w:val="011B2B"/>
          <w:sz w:val="24"/>
          <w:szCs w:val="24"/>
        </w:rPr>
        <w:t>Singapore</w:t>
      </w:r>
    </w:p>
    <w:p w:rsidR="00A66B77" w:rsidRPr="004418DA" w:rsidRDefault="00A66B77" w:rsidP="004418DA">
      <w:pPr>
        <w:pStyle w:val="Heading2"/>
        <w:shd w:val="clear" w:color="auto" w:fill="FFC62D"/>
        <w:spacing w:before="0" w:beforeAutospacing="0" w:after="210" w:afterAutospacing="0" w:line="360" w:lineRule="auto"/>
        <w:jc w:val="both"/>
        <w:rPr>
          <w:b w:val="0"/>
          <w:bCs w:val="0"/>
          <w:color w:val="FFFFFF"/>
          <w:sz w:val="24"/>
          <w:szCs w:val="24"/>
        </w:rPr>
      </w:pPr>
      <w:r w:rsidRPr="004418DA">
        <w:rPr>
          <w:b w:val="0"/>
          <w:bCs w:val="0"/>
          <w:color w:val="FFFFFF"/>
          <w:sz w:val="24"/>
          <w:szCs w:val="24"/>
        </w:rPr>
        <w:t>Emerging Markets</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Americas</w:t>
      </w:r>
    </w:p>
    <w:p w:rsidR="00A66B77" w:rsidRPr="004418DA" w:rsidRDefault="00A66B77" w:rsidP="004418DA">
      <w:pPr>
        <w:numPr>
          <w:ilvl w:val="0"/>
          <w:numId w:val="10"/>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Brazil</w:t>
      </w:r>
    </w:p>
    <w:p w:rsidR="00A66B77" w:rsidRPr="004418DA" w:rsidRDefault="00A66B77" w:rsidP="004418DA">
      <w:pPr>
        <w:numPr>
          <w:ilvl w:val="0"/>
          <w:numId w:val="10"/>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Chile</w:t>
      </w:r>
    </w:p>
    <w:p w:rsidR="00A66B77" w:rsidRPr="004418DA" w:rsidRDefault="00A66B77" w:rsidP="004418DA">
      <w:pPr>
        <w:numPr>
          <w:ilvl w:val="0"/>
          <w:numId w:val="10"/>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Colombia</w:t>
      </w:r>
    </w:p>
    <w:p w:rsidR="00A66B77" w:rsidRPr="004418DA" w:rsidRDefault="00A66B77" w:rsidP="004418DA">
      <w:pPr>
        <w:numPr>
          <w:ilvl w:val="0"/>
          <w:numId w:val="10"/>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Mexico</w:t>
      </w:r>
    </w:p>
    <w:p w:rsidR="00A66B77" w:rsidRPr="004418DA" w:rsidRDefault="00A66B77" w:rsidP="004418DA">
      <w:pPr>
        <w:numPr>
          <w:ilvl w:val="0"/>
          <w:numId w:val="10"/>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Peru</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EMEA</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Czech Republic</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Egypt</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Greece</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Hungary</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Kuwait</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Poland</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Qatar</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Saudi Arabia</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South Africa</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Turkey</w:t>
      </w:r>
    </w:p>
    <w:p w:rsidR="00A66B77" w:rsidRPr="004418DA" w:rsidRDefault="00A66B77" w:rsidP="004418DA">
      <w:pPr>
        <w:numPr>
          <w:ilvl w:val="0"/>
          <w:numId w:val="11"/>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United Arab Emirates</w:t>
      </w:r>
    </w:p>
    <w:p w:rsidR="00A66B77" w:rsidRPr="004418DA" w:rsidRDefault="00A66B77" w:rsidP="004418DA">
      <w:pPr>
        <w:shd w:val="clear" w:color="auto" w:fill="011B2B"/>
        <w:spacing w:line="360" w:lineRule="auto"/>
        <w:jc w:val="both"/>
        <w:rPr>
          <w:rFonts w:ascii="Times New Roman" w:hAnsi="Times New Roman" w:cs="Times New Roman"/>
          <w:b/>
          <w:bCs/>
          <w:color w:val="FFFFFF"/>
          <w:sz w:val="24"/>
          <w:szCs w:val="24"/>
        </w:rPr>
      </w:pPr>
      <w:r w:rsidRPr="004418DA">
        <w:rPr>
          <w:rFonts w:ascii="Times New Roman" w:hAnsi="Times New Roman" w:cs="Times New Roman"/>
          <w:b/>
          <w:bCs/>
          <w:color w:val="FFFFFF"/>
          <w:sz w:val="24"/>
          <w:szCs w:val="24"/>
        </w:rPr>
        <w:t>Asia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China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India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Indonesia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Korea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Malaysia</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Philippines</w:t>
      </w:r>
    </w:p>
    <w:p w:rsid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sz w:val="24"/>
          <w:szCs w:val="24"/>
        </w:rPr>
        <w:t>Taiwan</w:t>
      </w:r>
    </w:p>
    <w:p w:rsidR="00A66B77" w:rsidRPr="004418DA" w:rsidRDefault="00A66B77" w:rsidP="004418DA">
      <w:pPr>
        <w:numPr>
          <w:ilvl w:val="0"/>
          <w:numId w:val="12"/>
        </w:numPr>
        <w:pBdr>
          <w:top w:val="single" w:sz="2" w:space="2" w:color="FFFFFF"/>
          <w:left w:val="single" w:sz="2" w:space="8" w:color="FFFFFF"/>
          <w:bottom w:val="single" w:sz="6" w:space="2" w:color="FFFFFF"/>
          <w:right w:val="single" w:sz="2" w:space="15" w:color="FFFFFF"/>
        </w:pBdr>
        <w:spacing w:after="0" w:line="360" w:lineRule="auto"/>
        <w:ind w:left="0"/>
        <w:jc w:val="both"/>
        <w:rPr>
          <w:rFonts w:ascii="Times New Roman" w:hAnsi="Times New Roman" w:cs="Times New Roman"/>
          <w:sz w:val="24"/>
          <w:szCs w:val="24"/>
        </w:rPr>
      </w:pPr>
      <w:r w:rsidRPr="004418DA">
        <w:rPr>
          <w:rFonts w:ascii="Times New Roman" w:hAnsi="Times New Roman" w:cs="Times New Roman"/>
          <w:color w:val="011B2B"/>
          <w:sz w:val="24"/>
          <w:szCs w:val="24"/>
        </w:rPr>
        <w:t>Thailand</w:t>
      </w:r>
    </w:p>
    <w:p w:rsidR="00A934B2" w:rsidRPr="004418DA" w:rsidRDefault="00A934B2" w:rsidP="004418DA">
      <w:pPr>
        <w:shd w:val="clear" w:color="auto" w:fill="FFFFFF"/>
        <w:spacing w:before="100" w:beforeAutospacing="1" w:after="0" w:line="360" w:lineRule="auto"/>
        <w:jc w:val="both"/>
        <w:rPr>
          <w:rFonts w:ascii="Times New Roman" w:eastAsia="Times New Roman" w:hAnsi="Times New Roman" w:cs="Times New Roman"/>
          <w:b/>
          <w:spacing w:val="1"/>
          <w:sz w:val="24"/>
          <w:szCs w:val="24"/>
          <w:lang w:eastAsia="en-IN"/>
        </w:rPr>
      </w:pPr>
      <w:r w:rsidRPr="004418DA">
        <w:rPr>
          <w:rFonts w:ascii="Times New Roman" w:eastAsia="Times New Roman" w:hAnsi="Times New Roman" w:cs="Times New Roman"/>
          <w:b/>
          <w:spacing w:val="1"/>
          <w:sz w:val="24"/>
          <w:szCs w:val="24"/>
          <w:lang w:eastAsia="en-IN"/>
        </w:rPr>
        <w:lastRenderedPageBreak/>
        <w:t>All emerging market funds are considered long-term, high-risk investments, with outsized potential for gains and losses.</w:t>
      </w:r>
    </w:p>
    <w:p w:rsidR="00A934B2" w:rsidRPr="004418DA" w:rsidRDefault="00A934B2" w:rsidP="004418DA">
      <w:pPr>
        <w:spacing w:line="360" w:lineRule="auto"/>
        <w:jc w:val="both"/>
        <w:rPr>
          <w:rFonts w:ascii="Times New Roman" w:hAnsi="Times New Roman" w:cs="Times New Roman"/>
          <w:b/>
          <w:sz w:val="24"/>
          <w:szCs w:val="24"/>
        </w:rPr>
      </w:pPr>
    </w:p>
    <w:p w:rsidR="00F97DF7" w:rsidRPr="004418DA" w:rsidRDefault="00F97DF7" w:rsidP="004418DA">
      <w:pPr>
        <w:spacing w:line="360" w:lineRule="auto"/>
        <w:jc w:val="both"/>
        <w:rPr>
          <w:rFonts w:ascii="Times New Roman" w:hAnsi="Times New Roman" w:cs="Times New Roman"/>
          <w:b/>
          <w:sz w:val="24"/>
          <w:szCs w:val="24"/>
        </w:rPr>
      </w:pPr>
      <w:r w:rsidRPr="004418DA">
        <w:rPr>
          <w:rFonts w:ascii="Times New Roman" w:hAnsi="Times New Roman" w:cs="Times New Roman"/>
          <w:b/>
          <w:sz w:val="24"/>
          <w:szCs w:val="24"/>
        </w:rPr>
        <w:t>International Equity trading</w:t>
      </w:r>
    </w:p>
    <w:p w:rsidR="00C442C7" w:rsidRPr="004418DA" w:rsidRDefault="00C442C7" w:rsidP="004418DA">
      <w:pPr>
        <w:pStyle w:val="Heading1"/>
        <w:spacing w:before="0" w:line="360" w:lineRule="auto"/>
        <w:jc w:val="both"/>
        <w:textAlignment w:val="center"/>
        <w:rPr>
          <w:rFonts w:ascii="Times New Roman" w:hAnsi="Times New Roman" w:cs="Times New Roman"/>
          <w:caps/>
          <w:color w:val="auto"/>
          <w:sz w:val="24"/>
          <w:szCs w:val="24"/>
        </w:rPr>
      </w:pPr>
      <w:r w:rsidRPr="004418DA">
        <w:rPr>
          <w:rFonts w:ascii="Times New Roman" w:hAnsi="Times New Roman" w:cs="Times New Roman"/>
          <w:b/>
          <w:bCs/>
          <w:caps/>
          <w:color w:val="auto"/>
          <w:sz w:val="24"/>
          <w:szCs w:val="24"/>
        </w:rPr>
        <w:t>WHY INVEST IN GLOBAL MARKETS</w:t>
      </w:r>
    </w:p>
    <w:p w:rsidR="00C442C7" w:rsidRPr="004418DA" w:rsidRDefault="00C442C7" w:rsidP="004418DA">
      <w:pPr>
        <w:spacing w:line="360" w:lineRule="auto"/>
        <w:jc w:val="both"/>
        <w:textAlignment w:val="center"/>
        <w:rPr>
          <w:rFonts w:ascii="Times New Roman" w:hAnsi="Times New Roman" w:cs="Times New Roman"/>
          <w:sz w:val="24"/>
          <w:szCs w:val="24"/>
        </w:rPr>
      </w:pPr>
      <w:r w:rsidRPr="004418DA">
        <w:rPr>
          <w:rFonts w:ascii="Times New Roman" w:hAnsi="Times New Roman" w:cs="Times New Roman"/>
          <w:b/>
          <w:bCs/>
          <w:sz w:val="24"/>
          <w:szCs w:val="24"/>
        </w:rPr>
        <w:t>Geographical Diversification</w:t>
      </w:r>
    </w:p>
    <w:p w:rsidR="00C442C7" w:rsidRPr="004418DA" w:rsidRDefault="00C442C7" w:rsidP="004418DA">
      <w:pPr>
        <w:pStyle w:val="NormalWeb"/>
        <w:spacing w:before="105" w:beforeAutospacing="0" w:after="0" w:afterAutospacing="0" w:line="360" w:lineRule="auto"/>
        <w:jc w:val="both"/>
        <w:textAlignment w:val="baseline"/>
      </w:pPr>
      <w:r w:rsidRPr="004418DA">
        <w:t>Global securities give your portfolio the ultimate flexibility with diversification. With access to global markets, create a portfolio which can lower the country risk, giving you better risk-adjusted returns.</w:t>
      </w:r>
    </w:p>
    <w:p w:rsidR="00C442C7" w:rsidRPr="004418DA" w:rsidRDefault="00C442C7" w:rsidP="004418DA">
      <w:pPr>
        <w:spacing w:line="360" w:lineRule="auto"/>
        <w:jc w:val="both"/>
        <w:textAlignment w:val="center"/>
        <w:rPr>
          <w:rFonts w:ascii="Times New Roman" w:hAnsi="Times New Roman" w:cs="Times New Roman"/>
          <w:sz w:val="24"/>
          <w:szCs w:val="24"/>
        </w:rPr>
      </w:pPr>
      <w:r w:rsidRPr="004418DA">
        <w:rPr>
          <w:rFonts w:ascii="Times New Roman" w:hAnsi="Times New Roman" w:cs="Times New Roman"/>
          <w:noProof/>
          <w:sz w:val="24"/>
          <w:szCs w:val="24"/>
          <w:lang w:eastAsia="en-IN"/>
        </w:rPr>
        <mc:AlternateContent>
          <mc:Choice Requires="wps">
            <w:drawing>
              <wp:inline distT="0" distB="0" distL="0" distR="0" wp14:anchorId="7AB723F0" wp14:editId="5EEAB189">
                <wp:extent cx="304800" cy="304800"/>
                <wp:effectExtent l="0" t="0" r="0" b="0"/>
                <wp:docPr id="2" name="Rectangle 2" descr="Cashless tradi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8F154E1" id="Rectangle 2" o:spid="_x0000_s1026" alt="Cashless tradi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" filled="f" stroked="f">
                <o:lock v:ext="edit" aspectratio="t"/>
                <w10:anchorlock/>
              </v:rect>
            </w:pict>
          </mc:Fallback>
        </mc:AlternateContent>
      </w:r>
      <w:r w:rsidRPr="004418DA">
        <w:rPr>
          <w:rFonts w:ascii="Times New Roman" w:hAnsi="Times New Roman" w:cs="Times New Roman"/>
          <w:b/>
          <w:bCs/>
          <w:sz w:val="24"/>
          <w:szCs w:val="24"/>
        </w:rPr>
        <w:t>Invest in Leaders &amp; Innovators across the globe</w:t>
      </w:r>
    </w:p>
    <w:p w:rsidR="00C442C7" w:rsidRPr="004418DA" w:rsidRDefault="00C442C7" w:rsidP="004418DA">
      <w:pPr>
        <w:pStyle w:val="NormalWeb"/>
        <w:spacing w:before="105" w:beforeAutospacing="0" w:after="0" w:afterAutospacing="0" w:line="360" w:lineRule="auto"/>
        <w:jc w:val="both"/>
        <w:textAlignment w:val="baseline"/>
      </w:pPr>
      <w:r w:rsidRPr="004418DA">
        <w:t>Participate in the growth story of the Leaders &amp; Innovators across the globe to potentially generate higher returns with your money.</w:t>
      </w:r>
    </w:p>
    <w:p w:rsidR="00C442C7" w:rsidRPr="004418DA" w:rsidRDefault="00C442C7" w:rsidP="004418DA">
      <w:pPr>
        <w:spacing w:line="360" w:lineRule="auto"/>
        <w:jc w:val="both"/>
        <w:textAlignment w:val="center"/>
        <w:rPr>
          <w:rFonts w:ascii="Times New Roman" w:hAnsi="Times New Roman" w:cs="Times New Roman"/>
          <w:sz w:val="24"/>
          <w:szCs w:val="24"/>
        </w:rPr>
      </w:pPr>
      <w:r w:rsidRPr="004418DA">
        <w:rPr>
          <w:rFonts w:ascii="Times New Roman" w:hAnsi="Times New Roman" w:cs="Times New Roman"/>
          <w:noProof/>
          <w:sz w:val="24"/>
          <w:szCs w:val="24"/>
          <w:lang w:eastAsia="en-IN"/>
        </w:rPr>
        <mc:AlternateContent>
          <mc:Choice Requires="wps">
            <w:drawing>
              <wp:inline distT="0" distB="0" distL="0" distR="0" wp14:anchorId="6CA9BEA4" wp14:editId="47038CAB">
                <wp:extent cx="304800" cy="304800"/>
                <wp:effectExtent l="0" t="0" r="0" b="0"/>
                <wp:docPr id="1" name="Rectangle 1" descr="Convert to delivery"/>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A667630" id="Rectangle 1" o:spid="_x0000_s1026" alt="Convert to delivery"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" filled="f" stroked="f">
                <o:lock v:ext="edit" aspectratio="t"/>
                <w10:anchorlock/>
              </v:rect>
            </w:pict>
          </mc:Fallback>
        </mc:AlternateContent>
      </w:r>
      <w:r w:rsidRPr="004418DA">
        <w:rPr>
          <w:rFonts w:ascii="Times New Roman" w:hAnsi="Times New Roman" w:cs="Times New Roman"/>
          <w:b/>
          <w:bCs/>
          <w:sz w:val="24"/>
          <w:szCs w:val="24"/>
        </w:rPr>
        <w:t>Potentially higher returns to INR Depreciation</w:t>
      </w:r>
    </w:p>
    <w:p w:rsidR="00C442C7" w:rsidRPr="004418DA" w:rsidRDefault="00C442C7" w:rsidP="004418DA">
      <w:pPr>
        <w:pStyle w:val="NormalWeb"/>
        <w:spacing w:before="105" w:beforeAutospacing="0" w:after="0" w:afterAutospacing="0" w:line="360" w:lineRule="auto"/>
        <w:jc w:val="both"/>
        <w:textAlignment w:val="baseline"/>
      </w:pPr>
      <w:r w:rsidRPr="004418DA">
        <w:t xml:space="preserve">INR has historically depreciated against leading global currencies like USD, EUR, </w:t>
      </w:r>
      <w:proofErr w:type="gramStart"/>
      <w:r w:rsidRPr="004418DA">
        <w:t>GBP</w:t>
      </w:r>
      <w:proofErr w:type="gramEnd"/>
      <w:r w:rsidRPr="004418DA">
        <w:t xml:space="preserve"> etc. which adds to your portfolio returns in INR.</w:t>
      </w:r>
    </w:p>
    <w:p w:rsidR="00C442C7" w:rsidRPr="004418DA" w:rsidRDefault="00C442C7" w:rsidP="004418DA">
      <w:pPr>
        <w:spacing w:line="360" w:lineRule="auto"/>
        <w:jc w:val="both"/>
        <w:rPr>
          <w:rFonts w:ascii="Times New Roman" w:hAnsi="Times New Roman" w:cs="Times New Roman"/>
          <w:b/>
          <w:sz w:val="24"/>
          <w:szCs w:val="24"/>
        </w:rPr>
      </w:pPr>
    </w:p>
    <w:p w:rsidR="00F97DF7" w:rsidRPr="004418DA" w:rsidRDefault="00F97DF7" w:rsidP="004418DA">
      <w:pPr>
        <w:pStyle w:val="NormalWeb"/>
        <w:shd w:val="clear" w:color="auto" w:fill="FFFFFF"/>
        <w:spacing w:before="0" w:beforeAutospacing="0" w:after="150" w:afterAutospacing="0" w:line="360" w:lineRule="auto"/>
        <w:jc w:val="both"/>
        <w:textAlignment w:val="baseline"/>
        <w:rPr>
          <w:color w:val="504B4B"/>
        </w:rPr>
      </w:pPr>
      <w:r w:rsidRPr="004418DA">
        <w:rPr>
          <w:color w:val="504B4B"/>
        </w:rPr>
        <w:t>Investing in foreign stocks has been a new trend that has seen an increase in investors all across India. This has several pros, one of which being high returns. However, it also comes along with certain consequences such as high brokerage charges. While you could invest large amounts in US equities, it is important to remember that the Reserve Bank of India has capped the maximum investment amount made by an Indian resident to $250,000.</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bdr w:val="none" w:sz="0" w:space="0" w:color="auto" w:frame="1"/>
        </w:rPr>
        <w:t>Benefits of investing in US equities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color w:val="504B4B"/>
        </w:rPr>
        <w:t>One of the main reasons why many people </w:t>
      </w:r>
      <w:r w:rsidRPr="004418DA">
        <w:rPr>
          <w:rStyle w:val="Strong"/>
          <w:rFonts w:eastAsiaTheme="majorEastAsia"/>
          <w:color w:val="504B4B"/>
          <w:bdr w:val="none" w:sz="0" w:space="0" w:color="auto" w:frame="1"/>
        </w:rPr>
        <w:t>invest in foreign stocks</w:t>
      </w:r>
      <w:r w:rsidRPr="004418DA">
        <w:rPr>
          <w:color w:val="504B4B"/>
        </w:rPr>
        <w:t> is the increased exchange rate that enables people to bag massive profits. Besides, several </w:t>
      </w:r>
      <w:r w:rsidRPr="004418DA">
        <w:rPr>
          <w:rFonts w:eastAsiaTheme="majorEastAsia"/>
          <w:color w:val="504B4B"/>
          <w:bdr w:val="none" w:sz="0" w:space="0" w:color="auto" w:frame="1"/>
        </w:rPr>
        <w:t>investors can aim to have diversified portfolio</w:t>
      </w:r>
      <w:r w:rsidRPr="004418DA">
        <w:rPr>
          <w:color w:val="504B4B"/>
        </w:rPr>
        <w:t> by investing beyond the country’s borders. Besides, the US stock market houses some of the most popular and profitable businesses such as Tesla, Google, Amazon, Facebook, General Motors, Apple, Microsoft, and many others. Such US stocks perform exuberantly well whose net worth continues to grow at a rapid pace as they are the next generation of innovators in the industry.</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bdr w:val="none" w:sz="0" w:space="0" w:color="auto" w:frame="1"/>
        </w:rPr>
        <w:t>How to invest in US stocks?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color w:val="504B4B"/>
        </w:rPr>
        <w:lastRenderedPageBreak/>
        <w:t>To </w:t>
      </w:r>
      <w:r w:rsidRPr="004418DA">
        <w:rPr>
          <w:rStyle w:val="Strong"/>
          <w:rFonts w:eastAsiaTheme="majorEastAsia"/>
          <w:color w:val="504B4B"/>
          <w:bdr w:val="none" w:sz="0" w:space="0" w:color="auto" w:frame="1"/>
        </w:rPr>
        <w:t>invest in US stocks from India</w:t>
      </w:r>
      <w:r w:rsidRPr="004418DA">
        <w:rPr>
          <w:color w:val="504B4B"/>
        </w:rPr>
        <w:t> can seem bizarre and complicated. However, the process is pretty straightforward and can be done in two broad ways: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bdr w:val="none" w:sz="0" w:space="0" w:color="auto" w:frame="1"/>
        </w:rPr>
        <w:t>1. Direct investment</w:t>
      </w:r>
    </w:p>
    <w:p w:rsidR="00F97DF7" w:rsidRPr="004418DA" w:rsidRDefault="00F97DF7" w:rsidP="004418DA">
      <w:pPr>
        <w:pStyle w:val="NormalWeb"/>
        <w:shd w:val="clear" w:color="auto" w:fill="FFFFFF"/>
        <w:spacing w:before="0" w:beforeAutospacing="0" w:after="150" w:afterAutospacing="0" w:line="360" w:lineRule="auto"/>
        <w:jc w:val="both"/>
        <w:textAlignment w:val="baseline"/>
        <w:rPr>
          <w:color w:val="504B4B"/>
        </w:rPr>
      </w:pPr>
      <w:r w:rsidRPr="004418DA">
        <w:rPr>
          <w:color w:val="504B4B"/>
        </w:rPr>
        <w:t>To directly invest in US equities means that you would have to follow either of the below-mentioned processes: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u w:val="single"/>
          <w:bdr w:val="none" w:sz="0" w:space="0" w:color="auto" w:frame="1"/>
        </w:rPr>
        <w:t xml:space="preserve">Open a </w:t>
      </w:r>
      <w:proofErr w:type="spellStart"/>
      <w:r w:rsidRPr="004418DA">
        <w:rPr>
          <w:rStyle w:val="Strong"/>
          <w:color w:val="504B4B"/>
          <w:u w:val="single"/>
          <w:bdr w:val="none" w:sz="0" w:space="0" w:color="auto" w:frame="1"/>
        </w:rPr>
        <w:t>Demat</w:t>
      </w:r>
      <w:proofErr w:type="spellEnd"/>
      <w:r w:rsidRPr="004418DA">
        <w:rPr>
          <w:rStyle w:val="Strong"/>
          <w:color w:val="504B4B"/>
          <w:u w:val="single"/>
          <w:bdr w:val="none" w:sz="0" w:space="0" w:color="auto" w:frame="1"/>
        </w:rPr>
        <w:t xml:space="preserve"> Account with an Indian broker partnered with a foreign broker</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proofErr w:type="spellStart"/>
      <w:r w:rsidRPr="004418DA">
        <w:rPr>
          <w:rStyle w:val="Strong"/>
          <w:rFonts w:eastAsiaTheme="majorEastAsia"/>
          <w:color w:val="504B4B"/>
          <w:bdr w:val="none" w:sz="0" w:space="0" w:color="auto" w:frame="1"/>
        </w:rPr>
        <w:t>Demat</w:t>
      </w:r>
      <w:proofErr w:type="spellEnd"/>
      <w:r w:rsidRPr="004418DA">
        <w:rPr>
          <w:rStyle w:val="Strong"/>
          <w:rFonts w:eastAsiaTheme="majorEastAsia"/>
          <w:color w:val="504B4B"/>
          <w:bdr w:val="none" w:sz="0" w:space="0" w:color="auto" w:frame="1"/>
        </w:rPr>
        <w:t xml:space="preserve"> account opening</w:t>
      </w:r>
      <w:r w:rsidRPr="004418DA">
        <w:rPr>
          <w:color w:val="504B4B"/>
        </w:rPr>
        <w:t> method is considered to be the easiest as many fund houses are equipped to allow you to invest in foreign stocks.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u w:val="single"/>
          <w:bdr w:val="none" w:sz="0" w:space="0" w:color="auto" w:frame="1"/>
        </w:rPr>
        <w:t>Open an account with a foreign broker</w:t>
      </w:r>
    </w:p>
    <w:p w:rsidR="00F97DF7" w:rsidRPr="004418DA" w:rsidRDefault="00F97DF7" w:rsidP="004418DA">
      <w:pPr>
        <w:pStyle w:val="NormalWeb"/>
        <w:shd w:val="clear" w:color="auto" w:fill="FFFFFF"/>
        <w:spacing w:before="0" w:beforeAutospacing="0" w:after="150" w:afterAutospacing="0" w:line="360" w:lineRule="auto"/>
        <w:jc w:val="both"/>
        <w:textAlignment w:val="baseline"/>
        <w:rPr>
          <w:color w:val="504B4B"/>
        </w:rPr>
      </w:pPr>
      <w:r w:rsidRPr="004418DA">
        <w:rPr>
          <w:color w:val="504B4B"/>
        </w:rPr>
        <w:t>There are several popular foreign brokers that allow investors from India to invest in US equities.</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r w:rsidRPr="004418DA">
        <w:rPr>
          <w:rStyle w:val="Strong"/>
          <w:color w:val="504B4B"/>
          <w:bdr w:val="none" w:sz="0" w:space="0" w:color="auto" w:frame="1"/>
        </w:rPr>
        <w:t>2. Indirect investment</w:t>
      </w:r>
    </w:p>
    <w:p w:rsidR="00F97DF7" w:rsidRPr="004418DA" w:rsidRDefault="00F97DF7" w:rsidP="004418DA">
      <w:pPr>
        <w:pStyle w:val="NormalWeb"/>
        <w:shd w:val="clear" w:color="auto" w:fill="FFFFFF"/>
        <w:spacing w:before="0" w:beforeAutospacing="0" w:after="150" w:afterAutospacing="0" w:line="360" w:lineRule="auto"/>
        <w:jc w:val="both"/>
        <w:textAlignment w:val="baseline"/>
        <w:rPr>
          <w:color w:val="504B4B"/>
        </w:rPr>
      </w:pPr>
      <w:r w:rsidRPr="004418DA">
        <w:rPr>
          <w:color w:val="504B4B"/>
        </w:rPr>
        <w:t>You can indirectly invest in foreign stock through any of the following 3 ways:</w:t>
      </w:r>
    </w:p>
    <w:p w:rsidR="00F97DF7" w:rsidRPr="004418DA" w:rsidRDefault="00F97DF7" w:rsidP="004418DA">
      <w:pPr>
        <w:pStyle w:val="NormalWeb"/>
        <w:shd w:val="clear" w:color="auto" w:fill="FFFFFF"/>
        <w:spacing w:before="0" w:beforeAutospacing="0" w:after="0" w:afterAutospacing="0" w:line="360" w:lineRule="auto"/>
        <w:textAlignment w:val="baseline"/>
        <w:rPr>
          <w:color w:val="504B4B"/>
        </w:rPr>
      </w:pPr>
      <w:r w:rsidRPr="004418DA">
        <w:rPr>
          <w:rStyle w:val="Strong"/>
          <w:color w:val="504B4B"/>
          <w:u w:val="single"/>
          <w:bdr w:val="none" w:sz="0" w:space="0" w:color="auto" w:frame="1"/>
        </w:rPr>
        <w:t>Exchange-Traded Funds</w:t>
      </w:r>
      <w:r w:rsidRPr="004418DA">
        <w:rPr>
          <w:color w:val="504B4B"/>
        </w:rPr>
        <w:br/>
      </w:r>
      <w:proofErr w:type="gramStart"/>
      <w:r w:rsidRPr="004418DA">
        <w:rPr>
          <w:color w:val="504B4B"/>
        </w:rPr>
        <w:t>You</w:t>
      </w:r>
      <w:proofErr w:type="gramEnd"/>
      <w:r w:rsidRPr="004418DA">
        <w:rPr>
          <w:color w:val="504B4B"/>
        </w:rPr>
        <w:t xml:space="preserve"> can buy US ETFs directly either through an Indian or an international broker. While investing in ETFs, you will not be mandated to maintain a minimum deposit balance.</w:t>
      </w:r>
    </w:p>
    <w:p w:rsidR="00F97DF7" w:rsidRPr="004418DA" w:rsidRDefault="00F97DF7" w:rsidP="004418DA">
      <w:pPr>
        <w:pStyle w:val="NormalWeb"/>
        <w:shd w:val="clear" w:color="auto" w:fill="FFFFFF"/>
        <w:spacing w:before="0" w:beforeAutospacing="0" w:after="0" w:afterAutospacing="0" w:line="360" w:lineRule="auto"/>
        <w:textAlignment w:val="baseline"/>
        <w:rPr>
          <w:color w:val="504B4B"/>
        </w:rPr>
      </w:pPr>
      <w:r w:rsidRPr="004418DA">
        <w:rPr>
          <w:rStyle w:val="Strong"/>
          <w:color w:val="504B4B"/>
          <w:u w:val="single"/>
          <w:bdr w:val="none" w:sz="0" w:space="0" w:color="auto" w:frame="1"/>
        </w:rPr>
        <w:t>Mutual funds</w:t>
      </w:r>
      <w:r w:rsidRPr="004418DA">
        <w:rPr>
          <w:color w:val="504B4B"/>
        </w:rPr>
        <w:br/>
      </w:r>
      <w:proofErr w:type="gramStart"/>
      <w:r w:rsidRPr="004418DA">
        <w:rPr>
          <w:color w:val="504B4B"/>
        </w:rPr>
        <w:t>This</w:t>
      </w:r>
      <w:proofErr w:type="gramEnd"/>
      <w:r w:rsidRPr="004418DA">
        <w:rPr>
          <w:color w:val="504B4B"/>
        </w:rPr>
        <w:t xml:space="preserve"> is one of the simplest ways to invest in foreign stocks as opening an international trading account is not necessary. Also, you also do not need to maintain a minimum balance in your trading account. Investing in mutual funds can also help you save the dilemma of picking the right and best stock to invest in.</w:t>
      </w:r>
    </w:p>
    <w:p w:rsidR="00F97DF7" w:rsidRPr="004418DA" w:rsidRDefault="00F97DF7" w:rsidP="004418DA">
      <w:pPr>
        <w:pStyle w:val="NormalWeb"/>
        <w:shd w:val="clear" w:color="auto" w:fill="FFFFFF"/>
        <w:spacing w:before="0" w:beforeAutospacing="0" w:after="0" w:afterAutospacing="0" w:line="360" w:lineRule="auto"/>
        <w:textAlignment w:val="baseline"/>
        <w:rPr>
          <w:color w:val="504B4B"/>
        </w:rPr>
      </w:pPr>
      <w:r w:rsidRPr="004418DA">
        <w:rPr>
          <w:rStyle w:val="Strong"/>
          <w:color w:val="504B4B"/>
          <w:u w:val="single"/>
          <w:bdr w:val="none" w:sz="0" w:space="0" w:color="auto" w:frame="1"/>
        </w:rPr>
        <w:t>New-age apps</w:t>
      </w:r>
      <w:r w:rsidRPr="004418DA">
        <w:rPr>
          <w:color w:val="504B4B"/>
        </w:rPr>
        <w:br/>
      </w:r>
      <w:proofErr w:type="gramStart"/>
      <w:r w:rsidRPr="004418DA">
        <w:rPr>
          <w:color w:val="504B4B"/>
        </w:rPr>
        <w:t>Another</w:t>
      </w:r>
      <w:proofErr w:type="gramEnd"/>
      <w:r w:rsidRPr="004418DA">
        <w:rPr>
          <w:color w:val="504B4B"/>
        </w:rPr>
        <w:t xml:space="preserve"> way to invest in foreign stocks through several new-age apps that have been launched by </w:t>
      </w:r>
      <w:proofErr w:type="spellStart"/>
      <w:r w:rsidRPr="004418DA">
        <w:rPr>
          <w:color w:val="504B4B"/>
        </w:rPr>
        <w:t>startups</w:t>
      </w:r>
      <w:proofErr w:type="spellEnd"/>
      <w:r w:rsidRPr="004418DA">
        <w:rPr>
          <w:color w:val="504B4B"/>
        </w:rPr>
        <w:t>.</w:t>
      </w:r>
    </w:p>
    <w:p w:rsidR="00F97DF7" w:rsidRPr="004418DA" w:rsidRDefault="00F97DF7" w:rsidP="004418DA">
      <w:pPr>
        <w:pStyle w:val="NormalWeb"/>
        <w:shd w:val="clear" w:color="auto" w:fill="FFFFFF"/>
        <w:spacing w:before="0" w:beforeAutospacing="0" w:after="0" w:afterAutospacing="0" w:line="360" w:lineRule="auto"/>
        <w:jc w:val="both"/>
        <w:textAlignment w:val="baseline"/>
        <w:rPr>
          <w:color w:val="504B4B"/>
        </w:rPr>
      </w:pPr>
    </w:p>
    <w:p w:rsidR="00F97DF7" w:rsidRPr="004418DA" w:rsidRDefault="00F97DF7" w:rsidP="004418DA">
      <w:pPr>
        <w:pStyle w:val="NormalWeb"/>
        <w:shd w:val="clear" w:color="auto" w:fill="FFFFFF"/>
        <w:spacing w:before="0" w:beforeAutospacing="0" w:after="150" w:afterAutospacing="0" w:line="360" w:lineRule="auto"/>
        <w:jc w:val="both"/>
        <w:textAlignment w:val="baseline"/>
        <w:rPr>
          <w:color w:val="504B4B"/>
        </w:rPr>
      </w:pPr>
      <w:r w:rsidRPr="004418DA">
        <w:rPr>
          <w:color w:val="504B4B"/>
        </w:rPr>
        <w:t>While investing in US stocks can be attractive, it is important to gain some insight into some of the downsides too. To begin your investment journey in US equities, you could follow several pathways. While direct investments require you to maintain a minimum balance, indirect investments do not. Based on your preferences and convenience, choose the right pathway either after thorough research or with the help of an advisor.</w:t>
      </w:r>
    </w:p>
    <w:p w:rsidR="004418DA" w:rsidRDefault="004418DA" w:rsidP="004418DA">
      <w:pPr>
        <w:shd w:val="clear" w:color="auto" w:fill="FFFFFF"/>
        <w:spacing w:before="100" w:beforeAutospacing="1" w:after="0" w:line="360" w:lineRule="auto"/>
        <w:jc w:val="both"/>
        <w:rPr>
          <w:rFonts w:ascii="Times New Roman" w:eastAsia="Times New Roman" w:hAnsi="Times New Roman" w:cs="Times New Roman"/>
          <w:color w:val="111111"/>
          <w:spacing w:val="1"/>
          <w:sz w:val="24"/>
          <w:szCs w:val="24"/>
          <w:lang w:eastAsia="en-IN"/>
        </w:rPr>
      </w:pPr>
    </w:p>
    <w:p w:rsidR="00AB2D69" w:rsidRPr="004418DA" w:rsidRDefault="00AB2D69" w:rsidP="004418DA">
      <w:pPr>
        <w:shd w:val="clear" w:color="auto" w:fill="FFFFFF"/>
        <w:spacing w:before="100" w:beforeAutospacing="1" w:after="0" w:line="360" w:lineRule="auto"/>
        <w:jc w:val="both"/>
        <w:rPr>
          <w:rFonts w:ascii="Times New Roman" w:eastAsia="Times New Roman" w:hAnsi="Times New Roman" w:cs="Times New Roman"/>
          <w:b/>
          <w:color w:val="111111"/>
          <w:spacing w:val="1"/>
          <w:sz w:val="28"/>
          <w:szCs w:val="28"/>
          <w:lang w:eastAsia="en-IN"/>
        </w:rPr>
      </w:pPr>
      <w:r w:rsidRPr="004418DA">
        <w:rPr>
          <w:rFonts w:ascii="Times New Roman" w:eastAsia="Times New Roman" w:hAnsi="Times New Roman" w:cs="Times New Roman"/>
          <w:b/>
          <w:color w:val="111111"/>
          <w:spacing w:val="1"/>
          <w:sz w:val="28"/>
          <w:szCs w:val="28"/>
          <w:lang w:eastAsia="en-IN"/>
        </w:rPr>
        <w:lastRenderedPageBreak/>
        <w:t>Multiple Listing or Cross-listing</w:t>
      </w:r>
    </w:p>
    <w:p w:rsidR="00AB2D69" w:rsidRPr="004418DA" w:rsidRDefault="00AB2D69" w:rsidP="004418DA">
      <w:pPr>
        <w:pStyle w:val="NormalWeb"/>
        <w:shd w:val="clear" w:color="auto" w:fill="FFFFFF"/>
        <w:spacing w:before="120" w:beforeAutospacing="0" w:after="120" w:afterAutospacing="0" w:line="360" w:lineRule="auto"/>
        <w:jc w:val="both"/>
      </w:pPr>
      <w:r w:rsidRPr="004418DA">
        <w:rPr>
          <w:b/>
          <w:bCs/>
        </w:rPr>
        <w:t>Cross-listing</w:t>
      </w:r>
      <w:r w:rsidRPr="004418DA">
        <w:t> (or </w:t>
      </w:r>
      <w:r w:rsidRPr="004418DA">
        <w:rPr>
          <w:b/>
          <w:bCs/>
        </w:rPr>
        <w:t>multi-listing</w:t>
      </w:r>
      <w:r w:rsidRPr="004418DA">
        <w:t>, or </w:t>
      </w:r>
      <w:proofErr w:type="spellStart"/>
      <w:r w:rsidRPr="004418DA">
        <w:rPr>
          <w:b/>
          <w:bCs/>
        </w:rPr>
        <w:t>interlisting</w:t>
      </w:r>
      <w:proofErr w:type="spellEnd"/>
      <w:r w:rsidRPr="004418DA">
        <w:t>) of </w:t>
      </w:r>
      <w:hyperlink r:id="rId39" w:tooltip="Shares" w:history="1">
        <w:r w:rsidRPr="004418DA">
          <w:rPr>
            <w:rStyle w:val="Hyperlink"/>
            <w:color w:val="auto"/>
          </w:rPr>
          <w:t>shares</w:t>
        </w:r>
      </w:hyperlink>
      <w:r w:rsidRPr="004418DA">
        <w:t> is when a firm lists its </w:t>
      </w:r>
      <w:hyperlink r:id="rId40" w:tooltip="Stock" w:history="1">
        <w:r w:rsidRPr="004418DA">
          <w:rPr>
            <w:rStyle w:val="Hyperlink"/>
            <w:color w:val="auto"/>
          </w:rPr>
          <w:t>equity</w:t>
        </w:r>
      </w:hyperlink>
      <w:r w:rsidRPr="004418DA">
        <w:t xml:space="preserve"> shares </w:t>
      </w:r>
      <w:proofErr w:type="gramStart"/>
      <w:r w:rsidRPr="004418DA">
        <w:t>on</w:t>
      </w:r>
      <w:proofErr w:type="gramEnd"/>
      <w:r w:rsidRPr="004418DA">
        <w:t xml:space="preserve"> one or more foreign </w:t>
      </w:r>
      <w:hyperlink r:id="rId41" w:tooltip="Stock exchange" w:history="1">
        <w:r w:rsidRPr="004418DA">
          <w:rPr>
            <w:rStyle w:val="Hyperlink"/>
            <w:color w:val="auto"/>
          </w:rPr>
          <w:t>stock exchange</w:t>
        </w:r>
      </w:hyperlink>
      <w:r w:rsidRPr="004418DA">
        <w:t> in addition to its domestic exchange. To be cross-listed, a company must thus comply with the requirements of all the stock exchanges in which it is listed, such as filing.</w:t>
      </w:r>
    </w:p>
    <w:p w:rsidR="00AB2D69" w:rsidRPr="004418DA" w:rsidRDefault="00AB2D69" w:rsidP="004418DA">
      <w:pPr>
        <w:pStyle w:val="NormalWeb"/>
        <w:shd w:val="clear" w:color="auto" w:fill="FFFFFF"/>
        <w:spacing w:before="120" w:beforeAutospacing="0" w:after="120" w:afterAutospacing="0" w:line="360" w:lineRule="auto"/>
        <w:jc w:val="both"/>
      </w:pPr>
      <w:r w:rsidRPr="004418DA">
        <w:t>Cross-listing should not be confused with other methods that allow a company's stock to be traded in two different exchanges, such as:</w:t>
      </w:r>
    </w:p>
    <w:p w:rsidR="00AB2D69" w:rsidRPr="004418DA" w:rsidRDefault="006B1CD9" w:rsidP="004418DA">
      <w:pPr>
        <w:numPr>
          <w:ilvl w:val="0"/>
          <w:numId w:val="18"/>
        </w:numPr>
        <w:shd w:val="clear" w:color="auto" w:fill="FFFFFF"/>
        <w:spacing w:before="100" w:beforeAutospacing="1" w:after="24" w:line="360" w:lineRule="auto"/>
        <w:ind w:left="384"/>
        <w:jc w:val="both"/>
        <w:rPr>
          <w:rFonts w:ascii="Times New Roman" w:hAnsi="Times New Roman" w:cs="Times New Roman"/>
          <w:sz w:val="24"/>
          <w:szCs w:val="24"/>
        </w:rPr>
      </w:pPr>
      <w:hyperlink r:id="rId42" w:tooltip="Dual-listed company" w:history="1">
        <w:r w:rsidR="00AB2D69" w:rsidRPr="004418DA">
          <w:rPr>
            <w:rStyle w:val="Hyperlink"/>
            <w:rFonts w:ascii="Times New Roman" w:hAnsi="Times New Roman" w:cs="Times New Roman"/>
            <w:color w:val="auto"/>
            <w:sz w:val="24"/>
            <w:szCs w:val="24"/>
          </w:rPr>
          <w:t>Dual listed companies</w:t>
        </w:r>
      </w:hyperlink>
      <w:r w:rsidR="00AB2D69" w:rsidRPr="004418DA">
        <w:rPr>
          <w:rFonts w:ascii="Times New Roman" w:hAnsi="Times New Roman" w:cs="Times New Roman"/>
          <w:sz w:val="24"/>
          <w:szCs w:val="24"/>
        </w:rPr>
        <w:t>, where two distinct companies (with separate stocks listed on different exchanges) function as one company.</w:t>
      </w:r>
    </w:p>
    <w:p w:rsidR="00AB2D69" w:rsidRPr="004418DA" w:rsidRDefault="006B1CD9" w:rsidP="004418DA">
      <w:pPr>
        <w:numPr>
          <w:ilvl w:val="0"/>
          <w:numId w:val="18"/>
        </w:numPr>
        <w:shd w:val="clear" w:color="auto" w:fill="FFFFFF"/>
        <w:spacing w:before="100" w:beforeAutospacing="1" w:after="24" w:line="360" w:lineRule="auto"/>
        <w:ind w:left="384"/>
        <w:jc w:val="both"/>
        <w:rPr>
          <w:rFonts w:ascii="Times New Roman" w:hAnsi="Times New Roman" w:cs="Times New Roman"/>
          <w:sz w:val="24"/>
          <w:szCs w:val="24"/>
        </w:rPr>
      </w:pPr>
      <w:hyperlink r:id="rId43" w:tooltip="Depositary receipt" w:history="1">
        <w:r w:rsidR="00AB2D69" w:rsidRPr="004418DA">
          <w:rPr>
            <w:rStyle w:val="Hyperlink"/>
            <w:rFonts w:ascii="Times New Roman" w:hAnsi="Times New Roman" w:cs="Times New Roman"/>
            <w:color w:val="auto"/>
            <w:sz w:val="24"/>
            <w:szCs w:val="24"/>
          </w:rPr>
          <w:t>Depositary receipts</w:t>
        </w:r>
      </w:hyperlink>
      <w:r w:rsidR="00AB2D69" w:rsidRPr="004418DA">
        <w:rPr>
          <w:rFonts w:ascii="Times New Roman" w:hAnsi="Times New Roman" w:cs="Times New Roman"/>
          <w:sz w:val="24"/>
          <w:szCs w:val="24"/>
        </w:rPr>
        <w:t>, which are only a representation of the stock, issued by a third-party bank rather than by the company itself. However, in practice the two terms are often used interchangeably.</w:t>
      </w:r>
    </w:p>
    <w:p w:rsidR="00AB2D69" w:rsidRPr="004418DA" w:rsidRDefault="00AB2D69" w:rsidP="004418DA">
      <w:pPr>
        <w:numPr>
          <w:ilvl w:val="0"/>
          <w:numId w:val="18"/>
        </w:numPr>
        <w:shd w:val="clear" w:color="auto" w:fill="FFFFFF"/>
        <w:spacing w:before="100" w:beforeAutospacing="1" w:after="24" w:line="360" w:lineRule="auto"/>
        <w:ind w:left="384"/>
        <w:jc w:val="both"/>
        <w:rPr>
          <w:rFonts w:ascii="Times New Roman" w:hAnsi="Times New Roman" w:cs="Times New Roman"/>
          <w:sz w:val="24"/>
          <w:szCs w:val="24"/>
        </w:rPr>
      </w:pPr>
      <w:r w:rsidRPr="004418DA">
        <w:rPr>
          <w:rFonts w:ascii="Times New Roman" w:hAnsi="Times New Roman" w:cs="Times New Roman"/>
          <w:i/>
          <w:iCs/>
          <w:sz w:val="24"/>
          <w:szCs w:val="24"/>
        </w:rPr>
        <w:t>Admitted for trading</w:t>
      </w:r>
      <w:r w:rsidRPr="004418DA">
        <w:rPr>
          <w:rFonts w:ascii="Times New Roman" w:hAnsi="Times New Roman" w:cs="Times New Roman"/>
          <w:sz w:val="24"/>
          <w:szCs w:val="24"/>
        </w:rPr>
        <w:t>, where a foreign share is accessible in a different market through an exchange convention and not actually registered within that different market.</w:t>
      </w:r>
    </w:p>
    <w:p w:rsidR="00AB2D69" w:rsidRPr="004418DA" w:rsidRDefault="00AB2D69" w:rsidP="004418DA">
      <w:pPr>
        <w:pStyle w:val="NormalWeb"/>
        <w:shd w:val="clear" w:color="auto" w:fill="FFFFFF"/>
        <w:spacing w:before="120" w:beforeAutospacing="0" w:after="120" w:afterAutospacing="0" w:line="360" w:lineRule="auto"/>
        <w:jc w:val="both"/>
      </w:pPr>
      <w:r w:rsidRPr="004418DA">
        <w:t>Generally such a company's </w:t>
      </w:r>
      <w:r w:rsidRPr="004418DA">
        <w:rPr>
          <w:b/>
          <w:bCs/>
        </w:rPr>
        <w:t>primary listing</w:t>
      </w:r>
      <w:r w:rsidRPr="004418DA">
        <w:t> is on a stock exchange in its country of incorporation, and its </w:t>
      </w:r>
      <w:r w:rsidRPr="004418DA">
        <w:rPr>
          <w:b/>
          <w:bCs/>
        </w:rPr>
        <w:t>secondary listing(s)</w:t>
      </w:r>
      <w:r w:rsidRPr="004418DA">
        <w:t> is/are on an exchange in another country. Cross-listing is especially common for companies that started out in a small market but grew into a larger market. For example, numerous large non-U.S. companies are listed on the </w:t>
      </w:r>
      <w:hyperlink r:id="rId44" w:tooltip="New York Stock Exchange" w:history="1">
        <w:r w:rsidRPr="004418DA">
          <w:rPr>
            <w:rStyle w:val="Hyperlink"/>
            <w:color w:val="auto"/>
          </w:rPr>
          <w:t>New York Stock Exchange</w:t>
        </w:r>
      </w:hyperlink>
      <w:r w:rsidRPr="004418DA">
        <w:t> or </w:t>
      </w:r>
      <w:hyperlink r:id="rId45" w:tooltip="NASDAQ" w:history="1">
        <w:r w:rsidRPr="004418DA">
          <w:rPr>
            <w:rStyle w:val="Hyperlink"/>
            <w:color w:val="auto"/>
          </w:rPr>
          <w:t>NASDAQ</w:t>
        </w:r>
      </w:hyperlink>
      <w:r w:rsidRPr="004418DA">
        <w:t> as well as on their respective national exchanges such as </w:t>
      </w:r>
      <w:hyperlink r:id="rId46" w:tooltip="BlackBerry Limited" w:history="1">
        <w:r w:rsidRPr="004418DA">
          <w:rPr>
            <w:rStyle w:val="Hyperlink"/>
            <w:color w:val="auto"/>
          </w:rPr>
          <w:t>BlackBerry</w:t>
        </w:r>
      </w:hyperlink>
      <w:r w:rsidRPr="004418DA">
        <w:t>, </w:t>
      </w:r>
      <w:hyperlink r:id="rId47" w:tooltip="Enbridge" w:history="1">
        <w:r w:rsidRPr="004418DA">
          <w:rPr>
            <w:rStyle w:val="Hyperlink"/>
            <w:color w:val="auto"/>
          </w:rPr>
          <w:t>Enbridge</w:t>
        </w:r>
      </w:hyperlink>
      <w:r w:rsidRPr="004418DA">
        <w:t>, </w:t>
      </w:r>
      <w:hyperlink r:id="rId48" w:tooltip="Equinor" w:history="1">
        <w:r w:rsidRPr="004418DA">
          <w:rPr>
            <w:rStyle w:val="Hyperlink"/>
            <w:color w:val="auto"/>
          </w:rPr>
          <w:t>Equinor</w:t>
        </w:r>
      </w:hyperlink>
      <w:r w:rsidRPr="004418DA">
        <w:t>, </w:t>
      </w:r>
      <w:hyperlink r:id="rId49" w:tooltip="Ericsson" w:history="1">
        <w:r w:rsidRPr="004418DA">
          <w:rPr>
            <w:rStyle w:val="Hyperlink"/>
            <w:color w:val="auto"/>
          </w:rPr>
          <w:t>Ericsson</w:t>
        </w:r>
      </w:hyperlink>
      <w:r w:rsidRPr="004418DA">
        <w:t>, </w:t>
      </w:r>
      <w:hyperlink r:id="rId50" w:tooltip="Nokia" w:history="1">
        <w:r w:rsidRPr="004418DA">
          <w:rPr>
            <w:rStyle w:val="Hyperlink"/>
            <w:color w:val="auto"/>
          </w:rPr>
          <w:t>Nokia</w:t>
        </w:r>
      </w:hyperlink>
      <w:r w:rsidRPr="004418DA">
        <w:t>, </w:t>
      </w:r>
      <w:hyperlink r:id="rId51" w:tooltip="Toyota" w:history="1">
        <w:r w:rsidRPr="004418DA">
          <w:rPr>
            <w:rStyle w:val="Hyperlink"/>
            <w:color w:val="auto"/>
          </w:rPr>
          <w:t>Toyota</w:t>
        </w:r>
      </w:hyperlink>
      <w:r w:rsidRPr="004418DA">
        <w:t> and </w:t>
      </w:r>
      <w:hyperlink r:id="rId52" w:tooltip="Sony" w:history="1">
        <w:r w:rsidRPr="004418DA">
          <w:rPr>
            <w:rStyle w:val="Hyperlink"/>
            <w:color w:val="auto"/>
          </w:rPr>
          <w:t>Sony</w:t>
        </w:r>
      </w:hyperlink>
      <w:r w:rsidRPr="004418DA">
        <w:t>.</w:t>
      </w:r>
    </w:p>
    <w:p w:rsidR="00403754" w:rsidRPr="004418DA" w:rsidRDefault="00403754" w:rsidP="004418DA">
      <w:pPr>
        <w:pStyle w:val="NormalWeb"/>
        <w:shd w:val="clear" w:color="auto" w:fill="FFFFFF"/>
        <w:spacing w:before="120" w:beforeAutospacing="0" w:after="120" w:afterAutospacing="0" w:line="360" w:lineRule="auto"/>
        <w:jc w:val="both"/>
        <w:rPr>
          <w:b/>
          <w:color w:val="202122"/>
        </w:rPr>
      </w:pPr>
      <w:r w:rsidRPr="004418DA">
        <w:rPr>
          <w:b/>
          <w:color w:val="202122"/>
        </w:rPr>
        <w:t>Why Shares are Cross Listed or Multiple listed?</w:t>
      </w:r>
    </w:p>
    <w:p w:rsidR="00403754" w:rsidRPr="004418DA" w:rsidRDefault="00403754" w:rsidP="004418DA">
      <w:pPr>
        <w:numPr>
          <w:ilvl w:val="0"/>
          <w:numId w:val="19"/>
        </w:num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b/>
          <w:color w:val="202122"/>
          <w:sz w:val="24"/>
          <w:szCs w:val="24"/>
        </w:rPr>
        <w:t>Market segmentation</w:t>
      </w:r>
      <w:r w:rsidRPr="004418DA">
        <w:rPr>
          <w:rFonts w:ascii="Times New Roman" w:hAnsi="Times New Roman" w:cs="Times New Roman"/>
          <w:color w:val="202122"/>
          <w:sz w:val="24"/>
          <w:szCs w:val="24"/>
        </w:rPr>
        <w:t xml:space="preserve">: </w:t>
      </w:r>
    </w:p>
    <w:p w:rsidR="00403754" w:rsidRPr="004418DA" w:rsidRDefault="00403754" w:rsidP="004418DA">
      <w:p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The traditional argument for why firms seek a cross-listing is that they expect to benefit from a lower cost of capital that arises because their shares become more accessible to global investors whose access would otherwise be restricted because of international investment barriers.</w:t>
      </w:r>
    </w:p>
    <w:p w:rsidR="00403754" w:rsidRPr="004418DA" w:rsidRDefault="00403754" w:rsidP="004418DA">
      <w:pPr>
        <w:numPr>
          <w:ilvl w:val="0"/>
          <w:numId w:val="19"/>
        </w:num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b/>
          <w:color w:val="202122"/>
          <w:sz w:val="24"/>
          <w:szCs w:val="24"/>
        </w:rPr>
        <w:t>Market liquidity</w:t>
      </w:r>
      <w:r w:rsidRPr="004418DA">
        <w:rPr>
          <w:rFonts w:ascii="Times New Roman" w:hAnsi="Times New Roman" w:cs="Times New Roman"/>
          <w:color w:val="202122"/>
          <w:sz w:val="24"/>
          <w:szCs w:val="24"/>
        </w:rPr>
        <w:t xml:space="preserve">: </w:t>
      </w:r>
    </w:p>
    <w:p w:rsidR="00403754" w:rsidRPr="004418DA" w:rsidRDefault="00403754" w:rsidP="004418DA">
      <w:p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Cross-listings on deeper and more liquid equity markets could lead to an increase in the liquidity of the stock and a decrease in the cost of capital.</w:t>
      </w:r>
    </w:p>
    <w:p w:rsidR="00403754" w:rsidRPr="004418DA" w:rsidRDefault="00403754" w:rsidP="004418DA">
      <w:pPr>
        <w:numPr>
          <w:ilvl w:val="0"/>
          <w:numId w:val="19"/>
        </w:num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b/>
          <w:color w:val="202122"/>
          <w:sz w:val="24"/>
          <w:szCs w:val="24"/>
        </w:rPr>
        <w:lastRenderedPageBreak/>
        <w:t>Information disclosure</w:t>
      </w:r>
      <w:r w:rsidRPr="004418DA">
        <w:rPr>
          <w:rFonts w:ascii="Times New Roman" w:hAnsi="Times New Roman" w:cs="Times New Roman"/>
          <w:color w:val="202122"/>
          <w:sz w:val="24"/>
          <w:szCs w:val="24"/>
        </w:rPr>
        <w:t xml:space="preserve">: </w:t>
      </w:r>
    </w:p>
    <w:p w:rsidR="00403754" w:rsidRPr="004418DA" w:rsidRDefault="00403754" w:rsidP="004418DA">
      <w:pPr>
        <w:shd w:val="clear" w:color="auto" w:fill="FFFFFF"/>
        <w:spacing w:before="100" w:beforeAutospacing="1" w:after="24" w:line="360" w:lineRule="auto"/>
        <w:ind w:left="384"/>
        <w:jc w:val="both"/>
        <w:rPr>
          <w:rFonts w:ascii="Times New Roman" w:hAnsi="Times New Roman" w:cs="Times New Roman"/>
          <w:color w:val="202122"/>
          <w:sz w:val="24"/>
          <w:szCs w:val="24"/>
        </w:rPr>
      </w:pPr>
      <w:bookmarkStart w:id="0" w:name="_GoBack"/>
      <w:r w:rsidRPr="004418DA">
        <w:rPr>
          <w:rFonts w:ascii="Times New Roman" w:hAnsi="Times New Roman" w:cs="Times New Roman"/>
          <w:sz w:val="24"/>
          <w:szCs w:val="24"/>
        </w:rPr>
        <w:t>Cross-listing on a foreign market can reduce the cost of capital through an improvement of the firm's information environment. Firms can use a cross-listing on markets with stringent </w:t>
      </w:r>
      <w:hyperlink r:id="rId53" w:tooltip="Disclosure requirement" w:history="1">
        <w:r w:rsidRPr="004418DA">
          <w:rPr>
            <w:rStyle w:val="Hyperlink"/>
            <w:rFonts w:ascii="Times New Roman" w:hAnsi="Times New Roman" w:cs="Times New Roman"/>
            <w:color w:val="auto"/>
            <w:sz w:val="24"/>
            <w:szCs w:val="24"/>
          </w:rPr>
          <w:t>disclosure requirements</w:t>
        </w:r>
      </w:hyperlink>
      <w:r w:rsidRPr="004418DA">
        <w:rPr>
          <w:rFonts w:ascii="Times New Roman" w:hAnsi="Times New Roman" w:cs="Times New Roman"/>
          <w:sz w:val="24"/>
          <w:szCs w:val="24"/>
        </w:rPr>
        <w:t> to signal their quality to outside investors and to provide improved information to potential customers and suppliers (for example, by adopting </w:t>
      </w:r>
      <w:hyperlink r:id="rId54" w:tooltip="US GAAP" w:history="1">
        <w:r w:rsidRPr="004418DA">
          <w:rPr>
            <w:rStyle w:val="Hyperlink"/>
            <w:rFonts w:ascii="Times New Roman" w:hAnsi="Times New Roman" w:cs="Times New Roman"/>
            <w:color w:val="auto"/>
            <w:sz w:val="24"/>
            <w:szCs w:val="24"/>
          </w:rPr>
          <w:t>US GAAP</w:t>
        </w:r>
      </w:hyperlink>
      <w:r w:rsidRPr="004418DA">
        <w:rPr>
          <w:rFonts w:ascii="Times New Roman" w:hAnsi="Times New Roman" w:cs="Times New Roman"/>
          <w:sz w:val="24"/>
          <w:szCs w:val="24"/>
        </w:rPr>
        <w:t>). Also, cross-listings tend to be associated with increased media attention, greater </w:t>
      </w:r>
      <w:hyperlink r:id="rId55" w:tooltip="Stock analyst" w:history="1">
        <w:r w:rsidRPr="004418DA">
          <w:rPr>
            <w:rStyle w:val="Hyperlink"/>
            <w:rFonts w:ascii="Times New Roman" w:hAnsi="Times New Roman" w:cs="Times New Roman"/>
            <w:color w:val="auto"/>
            <w:sz w:val="24"/>
            <w:szCs w:val="24"/>
          </w:rPr>
          <w:t>analyst</w:t>
        </w:r>
      </w:hyperlink>
      <w:r w:rsidRPr="004418DA">
        <w:rPr>
          <w:rFonts w:ascii="Times New Roman" w:hAnsi="Times New Roman" w:cs="Times New Roman"/>
          <w:sz w:val="24"/>
          <w:szCs w:val="24"/>
        </w:rPr>
        <w:t> coverage, better analysts’ forecast accuracy, and higher quality of </w:t>
      </w:r>
      <w:hyperlink r:id="rId56" w:tooltip="Accounting" w:history="1">
        <w:r w:rsidRPr="004418DA">
          <w:rPr>
            <w:rStyle w:val="Hyperlink"/>
            <w:rFonts w:ascii="Times New Roman" w:hAnsi="Times New Roman" w:cs="Times New Roman"/>
            <w:color w:val="auto"/>
            <w:sz w:val="24"/>
            <w:szCs w:val="24"/>
          </w:rPr>
          <w:t>accounting</w:t>
        </w:r>
      </w:hyperlink>
      <w:r w:rsidRPr="004418DA">
        <w:rPr>
          <w:rFonts w:ascii="Times New Roman" w:hAnsi="Times New Roman" w:cs="Times New Roman"/>
          <w:sz w:val="24"/>
          <w:szCs w:val="24"/>
        </w:rPr>
        <w:t> information</w:t>
      </w:r>
      <w:bookmarkEnd w:id="0"/>
      <w:r w:rsidRPr="004418DA">
        <w:rPr>
          <w:rFonts w:ascii="Times New Roman" w:hAnsi="Times New Roman" w:cs="Times New Roman"/>
          <w:color w:val="202122"/>
          <w:sz w:val="24"/>
          <w:szCs w:val="24"/>
        </w:rPr>
        <w:t>.</w:t>
      </w:r>
    </w:p>
    <w:p w:rsidR="00403754" w:rsidRPr="004418DA" w:rsidRDefault="00403754" w:rsidP="004418DA">
      <w:pPr>
        <w:numPr>
          <w:ilvl w:val="0"/>
          <w:numId w:val="19"/>
        </w:num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b/>
          <w:color w:val="202122"/>
          <w:sz w:val="24"/>
          <w:szCs w:val="24"/>
        </w:rPr>
        <w:t>Investor protection</w:t>
      </w:r>
      <w:r w:rsidRPr="004418DA">
        <w:rPr>
          <w:rFonts w:ascii="Times New Roman" w:hAnsi="Times New Roman" w:cs="Times New Roman"/>
          <w:color w:val="202122"/>
          <w:sz w:val="24"/>
          <w:szCs w:val="24"/>
        </w:rPr>
        <w:t xml:space="preserve"> </w:t>
      </w:r>
      <w:r w:rsidRPr="004418DA">
        <w:rPr>
          <w:rFonts w:ascii="Times New Roman" w:hAnsi="Times New Roman" w:cs="Times New Roman"/>
          <w:b/>
          <w:color w:val="202122"/>
          <w:sz w:val="24"/>
          <w:szCs w:val="24"/>
        </w:rPr>
        <w:t>("bonding")</w:t>
      </w:r>
      <w:r w:rsidRPr="004418DA">
        <w:rPr>
          <w:rFonts w:ascii="Times New Roman" w:hAnsi="Times New Roman" w:cs="Times New Roman"/>
          <w:color w:val="202122"/>
          <w:sz w:val="24"/>
          <w:szCs w:val="24"/>
        </w:rPr>
        <w:t xml:space="preserve">: </w:t>
      </w:r>
    </w:p>
    <w:p w:rsidR="00403754" w:rsidRPr="004418DA" w:rsidRDefault="00403754" w:rsidP="004418DA">
      <w:p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Recently, there is a growing academic literature on the so-called "bonding" argument. According to this view, cross-listing in the United States acts as a bonding mechanism used by firms that are incorporated in a jurisdiction with poor investor protection and enforcement systems to commit themselves voluntarily to higher standards of corporate governance. In this way, firms attract investors who would otherwise be reluctant to invest.</w:t>
      </w:r>
    </w:p>
    <w:p w:rsidR="00524583" w:rsidRPr="004418DA" w:rsidRDefault="00403754" w:rsidP="004418DA">
      <w:pPr>
        <w:numPr>
          <w:ilvl w:val="0"/>
          <w:numId w:val="19"/>
        </w:num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b/>
          <w:color w:val="202122"/>
          <w:sz w:val="24"/>
          <w:szCs w:val="24"/>
        </w:rPr>
        <w:t>Other motivations</w:t>
      </w:r>
      <w:r w:rsidRPr="004418DA">
        <w:rPr>
          <w:rFonts w:ascii="Times New Roman" w:hAnsi="Times New Roman" w:cs="Times New Roman"/>
          <w:color w:val="202122"/>
          <w:sz w:val="24"/>
          <w:szCs w:val="24"/>
        </w:rPr>
        <w:t xml:space="preserve">: </w:t>
      </w:r>
    </w:p>
    <w:p w:rsidR="00403754" w:rsidRPr="004418DA" w:rsidRDefault="00403754" w:rsidP="004418DA">
      <w:pPr>
        <w:shd w:val="clear" w:color="auto" w:fill="FFFFFF"/>
        <w:spacing w:before="100" w:beforeAutospacing="1" w:after="24" w:line="360" w:lineRule="auto"/>
        <w:ind w:left="384"/>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 xml:space="preserve">Cross-listing may also be driven by product and </w:t>
      </w:r>
      <w:proofErr w:type="spellStart"/>
      <w:r w:rsidRPr="004418DA">
        <w:rPr>
          <w:rFonts w:ascii="Times New Roman" w:hAnsi="Times New Roman" w:cs="Times New Roman"/>
          <w:color w:val="202122"/>
          <w:sz w:val="24"/>
          <w:szCs w:val="24"/>
        </w:rPr>
        <w:t>labor</w:t>
      </w:r>
      <w:proofErr w:type="spellEnd"/>
      <w:r w:rsidRPr="004418DA">
        <w:rPr>
          <w:rFonts w:ascii="Times New Roman" w:hAnsi="Times New Roman" w:cs="Times New Roman"/>
          <w:color w:val="202122"/>
          <w:sz w:val="24"/>
          <w:szCs w:val="24"/>
        </w:rPr>
        <w:t xml:space="preserve"> market considerations (for example, to increase visibility with customers by broadening product identification), to facilitate foreign acquisitions, and to improve </w:t>
      </w:r>
      <w:proofErr w:type="spellStart"/>
      <w:r w:rsidRPr="004418DA">
        <w:rPr>
          <w:rFonts w:ascii="Times New Roman" w:hAnsi="Times New Roman" w:cs="Times New Roman"/>
          <w:color w:val="202122"/>
          <w:sz w:val="24"/>
          <w:szCs w:val="24"/>
        </w:rPr>
        <w:t>labor</w:t>
      </w:r>
      <w:proofErr w:type="spellEnd"/>
      <w:r w:rsidRPr="004418DA">
        <w:rPr>
          <w:rFonts w:ascii="Times New Roman" w:hAnsi="Times New Roman" w:cs="Times New Roman"/>
          <w:color w:val="202122"/>
          <w:sz w:val="24"/>
          <w:szCs w:val="24"/>
        </w:rPr>
        <w:t xml:space="preserve"> relations in foreign countries by introducing share and option plans for foreign employees</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color w:val="202122"/>
          <w:sz w:val="24"/>
          <w:szCs w:val="24"/>
          <w:shd w:val="clear" w:color="auto" w:fill="FFFFFF"/>
        </w:rPr>
      </w:pPr>
      <w:r w:rsidRPr="004418DA">
        <w:rPr>
          <w:rFonts w:ascii="Times New Roman" w:hAnsi="Times New Roman" w:cs="Times New Roman"/>
          <w:b/>
          <w:color w:val="202122"/>
          <w:sz w:val="24"/>
          <w:szCs w:val="24"/>
          <w:shd w:val="clear" w:color="auto" w:fill="FFFFFF"/>
        </w:rPr>
        <w:t xml:space="preserve"> Disadvantages in deciding to cross-list</w:t>
      </w:r>
      <w:r w:rsidRPr="004418DA">
        <w:rPr>
          <w:rFonts w:ascii="Times New Roman" w:hAnsi="Times New Roman" w:cs="Times New Roman"/>
          <w:color w:val="202122"/>
          <w:sz w:val="24"/>
          <w:szCs w:val="24"/>
          <w:shd w:val="clear" w:color="auto" w:fill="FFFFFF"/>
        </w:rPr>
        <w:t xml:space="preserve">: </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b/>
          <w:color w:val="202122"/>
          <w:sz w:val="24"/>
          <w:szCs w:val="24"/>
          <w:shd w:val="clear" w:color="auto" w:fill="FFFFFF"/>
        </w:rPr>
      </w:pPr>
      <w:r w:rsidRPr="004418DA">
        <w:rPr>
          <w:rFonts w:ascii="Times New Roman" w:hAnsi="Times New Roman" w:cs="Times New Roman"/>
          <w:b/>
          <w:color w:val="202122"/>
          <w:sz w:val="24"/>
          <w:szCs w:val="24"/>
          <w:shd w:val="clear" w:color="auto" w:fill="FFFFFF"/>
        </w:rPr>
        <w:t>Increased pressure on executives due to closer public scrutiny</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b/>
          <w:color w:val="202122"/>
          <w:sz w:val="24"/>
          <w:szCs w:val="24"/>
          <w:shd w:val="clear" w:color="auto" w:fill="FFFFFF"/>
        </w:rPr>
      </w:pPr>
      <w:r w:rsidRPr="004418DA">
        <w:rPr>
          <w:rFonts w:ascii="Times New Roman" w:hAnsi="Times New Roman" w:cs="Times New Roman"/>
          <w:b/>
          <w:color w:val="202122"/>
          <w:sz w:val="24"/>
          <w:szCs w:val="24"/>
          <w:shd w:val="clear" w:color="auto" w:fill="FFFFFF"/>
        </w:rPr>
        <w:t xml:space="preserve"> Increased reporting and disclosure requirements</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b/>
          <w:color w:val="202122"/>
          <w:sz w:val="24"/>
          <w:szCs w:val="24"/>
          <w:shd w:val="clear" w:color="auto" w:fill="FFFFFF"/>
        </w:rPr>
      </w:pPr>
      <w:r w:rsidRPr="004418DA">
        <w:rPr>
          <w:rFonts w:ascii="Times New Roman" w:hAnsi="Times New Roman" w:cs="Times New Roman"/>
          <w:b/>
          <w:color w:val="202122"/>
          <w:sz w:val="24"/>
          <w:szCs w:val="24"/>
          <w:shd w:val="clear" w:color="auto" w:fill="FFFFFF"/>
        </w:rPr>
        <w:t>Additional scrutiny by analysts in advanced market economies</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color w:val="202122"/>
          <w:sz w:val="24"/>
          <w:szCs w:val="24"/>
          <w:shd w:val="clear" w:color="auto" w:fill="FFFFFF"/>
        </w:rPr>
      </w:pPr>
      <w:r w:rsidRPr="004418DA">
        <w:rPr>
          <w:rFonts w:ascii="Times New Roman" w:hAnsi="Times New Roman" w:cs="Times New Roman"/>
          <w:b/>
          <w:color w:val="202122"/>
          <w:sz w:val="24"/>
          <w:szCs w:val="24"/>
          <w:shd w:val="clear" w:color="auto" w:fill="FFFFFF"/>
        </w:rPr>
        <w:t>Additional listing fees</w:t>
      </w:r>
      <w:r w:rsidRPr="004418DA">
        <w:rPr>
          <w:rFonts w:ascii="Times New Roman" w:hAnsi="Times New Roman" w:cs="Times New Roman"/>
          <w:color w:val="202122"/>
          <w:sz w:val="24"/>
          <w:szCs w:val="24"/>
          <w:shd w:val="clear" w:color="auto" w:fill="FFFFFF"/>
        </w:rPr>
        <w:t xml:space="preserve">. </w:t>
      </w:r>
    </w:p>
    <w:p w:rsidR="00403754" w:rsidRPr="004418DA" w:rsidRDefault="00403754" w:rsidP="004418DA">
      <w:pPr>
        <w:shd w:val="clear" w:color="auto" w:fill="FFFFFF"/>
        <w:spacing w:before="100" w:beforeAutospacing="1" w:after="24" w:line="360" w:lineRule="auto"/>
        <w:ind w:left="24"/>
        <w:jc w:val="both"/>
        <w:rPr>
          <w:rFonts w:ascii="Times New Roman" w:hAnsi="Times New Roman" w:cs="Times New Roman"/>
          <w:color w:val="202122"/>
          <w:sz w:val="24"/>
          <w:szCs w:val="24"/>
          <w:shd w:val="clear" w:color="auto" w:fill="FFFFFF"/>
        </w:rPr>
      </w:pPr>
      <w:r w:rsidRPr="004418DA">
        <w:rPr>
          <w:rFonts w:ascii="Times New Roman" w:hAnsi="Times New Roman" w:cs="Times New Roman"/>
          <w:color w:val="202122"/>
          <w:sz w:val="24"/>
          <w:szCs w:val="24"/>
          <w:shd w:val="clear" w:color="auto" w:fill="FFFFFF"/>
        </w:rPr>
        <w:lastRenderedPageBreak/>
        <w:t>Some financial media have argued that the implementation of the </w:t>
      </w:r>
      <w:hyperlink r:id="rId57" w:tooltip="Sarbanes-Oxley" w:history="1">
        <w:r w:rsidRPr="004418DA">
          <w:rPr>
            <w:rStyle w:val="Hyperlink"/>
            <w:rFonts w:ascii="Times New Roman" w:hAnsi="Times New Roman" w:cs="Times New Roman"/>
            <w:color w:val="0645AD"/>
            <w:sz w:val="24"/>
            <w:szCs w:val="24"/>
            <w:shd w:val="clear" w:color="auto" w:fill="FFFFFF"/>
          </w:rPr>
          <w:t>Sarbanes-Oxley</w:t>
        </w:r>
      </w:hyperlink>
      <w:r w:rsidRPr="004418DA">
        <w:rPr>
          <w:rFonts w:ascii="Times New Roman" w:hAnsi="Times New Roman" w:cs="Times New Roman"/>
          <w:color w:val="202122"/>
          <w:sz w:val="24"/>
          <w:szCs w:val="24"/>
          <w:shd w:val="clear" w:color="auto" w:fill="FFFFFF"/>
        </w:rPr>
        <w:t> act in the United States has made the </w:t>
      </w:r>
      <w:hyperlink r:id="rId58" w:tooltip="NYSE" w:history="1">
        <w:r w:rsidRPr="004418DA">
          <w:rPr>
            <w:rStyle w:val="Hyperlink"/>
            <w:rFonts w:ascii="Times New Roman" w:hAnsi="Times New Roman" w:cs="Times New Roman"/>
            <w:color w:val="0645AD"/>
            <w:sz w:val="24"/>
            <w:szCs w:val="24"/>
            <w:shd w:val="clear" w:color="auto" w:fill="FFFFFF"/>
          </w:rPr>
          <w:t>NYSE</w:t>
        </w:r>
      </w:hyperlink>
      <w:r w:rsidRPr="004418DA">
        <w:rPr>
          <w:rFonts w:ascii="Times New Roman" w:hAnsi="Times New Roman" w:cs="Times New Roman"/>
          <w:color w:val="202122"/>
          <w:sz w:val="24"/>
          <w:szCs w:val="24"/>
          <w:shd w:val="clear" w:color="auto" w:fill="FFFFFF"/>
        </w:rPr>
        <w:t xml:space="preserve"> less attractive for cross-listings, but recent academic research finds little evidence to support this, see Doidge, </w:t>
      </w:r>
      <w:proofErr w:type="spellStart"/>
      <w:r w:rsidRPr="004418DA">
        <w:rPr>
          <w:rFonts w:ascii="Times New Roman" w:hAnsi="Times New Roman" w:cs="Times New Roman"/>
          <w:color w:val="202122"/>
          <w:sz w:val="24"/>
          <w:szCs w:val="24"/>
          <w:shd w:val="clear" w:color="auto" w:fill="FFFFFF"/>
        </w:rPr>
        <w:t>Karolyi</w:t>
      </w:r>
      <w:proofErr w:type="spellEnd"/>
      <w:r w:rsidRPr="004418DA">
        <w:rPr>
          <w:rFonts w:ascii="Times New Roman" w:hAnsi="Times New Roman" w:cs="Times New Roman"/>
          <w:color w:val="202122"/>
          <w:sz w:val="24"/>
          <w:szCs w:val="24"/>
          <w:shd w:val="clear" w:color="auto" w:fill="FFFFFF"/>
        </w:rPr>
        <w:t xml:space="preserve">, and </w:t>
      </w:r>
      <w:proofErr w:type="spellStart"/>
      <w:r w:rsidRPr="004418DA">
        <w:rPr>
          <w:rFonts w:ascii="Times New Roman" w:hAnsi="Times New Roman" w:cs="Times New Roman"/>
          <w:color w:val="202122"/>
          <w:sz w:val="24"/>
          <w:szCs w:val="24"/>
          <w:shd w:val="clear" w:color="auto" w:fill="FFFFFF"/>
        </w:rPr>
        <w:t>Stulz</w:t>
      </w:r>
      <w:proofErr w:type="spellEnd"/>
      <w:r w:rsidRPr="004418DA">
        <w:rPr>
          <w:rFonts w:ascii="Times New Roman" w:hAnsi="Times New Roman" w:cs="Times New Roman"/>
          <w:color w:val="202122"/>
          <w:sz w:val="24"/>
          <w:szCs w:val="24"/>
          <w:shd w:val="clear" w:color="auto" w:fill="FFFFFF"/>
        </w:rPr>
        <w:t xml:space="preserve"> (2007).</w:t>
      </w:r>
    </w:p>
    <w:p w:rsidR="00524583" w:rsidRPr="004418DA" w:rsidRDefault="00524583" w:rsidP="004418DA">
      <w:pPr>
        <w:shd w:val="clear" w:color="auto" w:fill="FFFFFF"/>
        <w:spacing w:before="100" w:beforeAutospacing="1" w:after="24" w:line="360" w:lineRule="auto"/>
        <w:ind w:left="24"/>
        <w:jc w:val="both"/>
        <w:rPr>
          <w:rFonts w:ascii="Times New Roman" w:hAnsi="Times New Roman" w:cs="Times New Roman"/>
          <w:b/>
          <w:color w:val="202122"/>
          <w:sz w:val="24"/>
          <w:szCs w:val="24"/>
          <w:shd w:val="clear" w:color="auto" w:fill="FFFFFF"/>
        </w:rPr>
      </w:pPr>
      <w:r w:rsidRPr="004418DA">
        <w:rPr>
          <w:rFonts w:ascii="Times New Roman" w:hAnsi="Times New Roman" w:cs="Times New Roman"/>
          <w:b/>
          <w:color w:val="202122"/>
          <w:sz w:val="24"/>
          <w:szCs w:val="24"/>
          <w:shd w:val="clear" w:color="auto" w:fill="FFFFFF"/>
        </w:rPr>
        <w:t>Depository Receipts</w:t>
      </w:r>
    </w:p>
    <w:p w:rsidR="00524583" w:rsidRPr="004418DA" w:rsidRDefault="00524583" w:rsidP="004418DA">
      <w:pPr>
        <w:shd w:val="clear" w:color="auto" w:fill="FFFFFF"/>
        <w:spacing w:before="100" w:beforeAutospacing="1" w:after="24" w:line="360" w:lineRule="auto"/>
        <w:ind w:left="24"/>
        <w:jc w:val="both"/>
        <w:rPr>
          <w:rFonts w:ascii="Times New Roman" w:hAnsi="Times New Roman" w:cs="Times New Roman"/>
          <w:color w:val="57595D"/>
          <w:sz w:val="24"/>
          <w:szCs w:val="24"/>
          <w:shd w:val="clear" w:color="auto" w:fill="FFFFFF"/>
        </w:rPr>
      </w:pPr>
      <w:r w:rsidRPr="004418DA">
        <w:rPr>
          <w:rFonts w:ascii="Times New Roman" w:hAnsi="Times New Roman" w:cs="Times New Roman"/>
          <w:color w:val="57595D"/>
          <w:sz w:val="24"/>
          <w:szCs w:val="24"/>
          <w:shd w:val="clear" w:color="auto" w:fill="FFFFFF"/>
        </w:rPr>
        <w:t>A depositary receipt is a negotiable instrument issued by a bank to represent shares in a foreign </w:t>
      </w:r>
      <w:hyperlink r:id="rId59" w:history="1">
        <w:r w:rsidRPr="004418DA">
          <w:rPr>
            <w:rStyle w:val="Hyperlink"/>
            <w:rFonts w:ascii="Times New Roman" w:hAnsi="Times New Roman" w:cs="Times New Roman"/>
            <w:color w:val="3271D2"/>
            <w:sz w:val="24"/>
            <w:szCs w:val="24"/>
            <w:shd w:val="clear" w:color="auto" w:fill="FFFFFF"/>
          </w:rPr>
          <w:t>public company</w:t>
        </w:r>
      </w:hyperlink>
      <w:r w:rsidRPr="004418DA">
        <w:rPr>
          <w:rFonts w:ascii="Times New Roman" w:hAnsi="Times New Roman" w:cs="Times New Roman"/>
          <w:color w:val="57595D"/>
          <w:sz w:val="24"/>
          <w:szCs w:val="24"/>
          <w:shd w:val="clear" w:color="auto" w:fill="FFFFFF"/>
        </w:rPr>
        <w:t>, which allows investors to trade in the global markets.</w:t>
      </w:r>
    </w:p>
    <w:p w:rsidR="00524583" w:rsidRPr="004418DA" w:rsidRDefault="00524583" w:rsidP="004418DA">
      <w:pPr>
        <w:pStyle w:val="NormalWeb"/>
        <w:shd w:val="clear" w:color="auto" w:fill="FFFFFF"/>
        <w:spacing w:line="360" w:lineRule="auto"/>
        <w:jc w:val="both"/>
        <w:rPr>
          <w:color w:val="57595D"/>
        </w:rPr>
      </w:pPr>
      <w:r w:rsidRPr="004418DA">
        <w:rPr>
          <w:color w:val="57595D"/>
        </w:rPr>
        <w:t>Depositary receipts allow investors to invest in companies in foreign countries while trading in a local stock exchange in the investor’s home country. It is advantageous to investors since shares are not allowed to leave the home country that they trade in.</w:t>
      </w:r>
    </w:p>
    <w:p w:rsidR="00524583" w:rsidRPr="004418DA" w:rsidRDefault="00524583" w:rsidP="004418DA">
      <w:pPr>
        <w:pStyle w:val="NormalWeb"/>
        <w:shd w:val="clear" w:color="auto" w:fill="FFFFFF"/>
        <w:spacing w:line="360" w:lineRule="auto"/>
        <w:jc w:val="both"/>
        <w:rPr>
          <w:color w:val="57595D"/>
        </w:rPr>
      </w:pPr>
      <w:r w:rsidRPr="004418DA">
        <w:rPr>
          <w:color w:val="57595D"/>
        </w:rPr>
        <w:t>Depositary receipts were created to minimize the complications of investing in foreign securities.</w:t>
      </w:r>
    </w:p>
    <w:p w:rsidR="00524583" w:rsidRPr="004418DA" w:rsidRDefault="00524583" w:rsidP="004418DA">
      <w:pPr>
        <w:pStyle w:val="NormalWeb"/>
        <w:shd w:val="clear" w:color="auto" w:fill="FFFFFF"/>
        <w:spacing w:line="360" w:lineRule="auto"/>
        <w:jc w:val="both"/>
        <w:rPr>
          <w:color w:val="57595D"/>
        </w:rPr>
      </w:pPr>
      <w:r w:rsidRPr="004418DA">
        <w:rPr>
          <w:color w:val="57595D"/>
        </w:rPr>
        <w:t>Previously, if investors wanted to buy shares in a foreign company, they would need to exchange their money into foreign currency and open a foreign </w:t>
      </w:r>
      <w:hyperlink r:id="rId60" w:history="1">
        <w:r w:rsidRPr="004418DA">
          <w:rPr>
            <w:rStyle w:val="Hyperlink"/>
            <w:color w:val="3271D2"/>
          </w:rPr>
          <w:t>brokerage</w:t>
        </w:r>
      </w:hyperlink>
      <w:r w:rsidRPr="004418DA">
        <w:rPr>
          <w:color w:val="57595D"/>
        </w:rPr>
        <w:t> account. Then, they would be able to purchase shares through the brokerage account on a foreign stock exchange.</w:t>
      </w:r>
    </w:p>
    <w:p w:rsidR="00524583" w:rsidRPr="004418DA" w:rsidRDefault="00524583" w:rsidP="004418DA">
      <w:pPr>
        <w:pStyle w:val="NormalWeb"/>
        <w:shd w:val="clear" w:color="auto" w:fill="FFFFFF"/>
        <w:spacing w:line="360" w:lineRule="auto"/>
        <w:jc w:val="both"/>
        <w:rPr>
          <w:color w:val="57595D"/>
        </w:rPr>
      </w:pPr>
      <w:r w:rsidRPr="004418DA">
        <w:rPr>
          <w:color w:val="57595D"/>
        </w:rPr>
        <w:t>The creation of depositary receipts eliminates the entire process and makes it simpler and more convenient for investors to invest in international companies.</w:t>
      </w:r>
    </w:p>
    <w:p w:rsidR="00524583" w:rsidRPr="004418DA" w:rsidRDefault="00524583" w:rsidP="004418DA">
      <w:pPr>
        <w:pStyle w:val="Heading3"/>
        <w:shd w:val="clear" w:color="auto" w:fill="FFFFFF"/>
        <w:spacing w:line="360" w:lineRule="auto"/>
        <w:jc w:val="both"/>
        <w:rPr>
          <w:rFonts w:ascii="Times New Roman" w:hAnsi="Times New Roman" w:cs="Times New Roman"/>
          <w:color w:val="132E57"/>
        </w:rPr>
      </w:pPr>
      <w:r w:rsidRPr="004418DA">
        <w:rPr>
          <w:rFonts w:ascii="Times New Roman" w:hAnsi="Times New Roman" w:cs="Times New Roman"/>
          <w:color w:val="132E57"/>
        </w:rPr>
        <w:t>Advantages of DRs</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t>1. Exposure to international securities</w:t>
      </w:r>
    </w:p>
    <w:p w:rsidR="00524583" w:rsidRPr="004418DA" w:rsidRDefault="00524583" w:rsidP="004418DA">
      <w:pPr>
        <w:pStyle w:val="NormalWeb"/>
        <w:shd w:val="clear" w:color="auto" w:fill="FFFFFF"/>
        <w:spacing w:line="360" w:lineRule="auto"/>
        <w:jc w:val="both"/>
        <w:rPr>
          <w:color w:val="57595D"/>
        </w:rPr>
      </w:pPr>
      <w:r w:rsidRPr="004418DA">
        <w:rPr>
          <w:color w:val="57595D"/>
        </w:rPr>
        <w:t>Investors can diversify their investment portfolio by gaining exposure to international securities, in addition to stocks offered by local companies.</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t>2. Additional sources of capital</w:t>
      </w:r>
    </w:p>
    <w:p w:rsidR="00524583" w:rsidRPr="004418DA" w:rsidRDefault="00524583" w:rsidP="004418DA">
      <w:pPr>
        <w:pStyle w:val="NormalWeb"/>
        <w:shd w:val="clear" w:color="auto" w:fill="FFFFFF"/>
        <w:spacing w:line="360" w:lineRule="auto"/>
        <w:jc w:val="both"/>
        <w:rPr>
          <w:color w:val="57595D"/>
        </w:rPr>
      </w:pPr>
      <w:r w:rsidRPr="004418DA">
        <w:rPr>
          <w:color w:val="57595D"/>
        </w:rPr>
        <w:t>Depositary receipts provide international companies a way to raise more capital by tapping into the global markets and attracting foreign investors around the world.</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lastRenderedPageBreak/>
        <w:t>3. Less international regulation</w:t>
      </w:r>
    </w:p>
    <w:p w:rsidR="00524583" w:rsidRPr="004418DA" w:rsidRDefault="00524583" w:rsidP="004418DA">
      <w:pPr>
        <w:pStyle w:val="NormalWeb"/>
        <w:shd w:val="clear" w:color="auto" w:fill="FFFFFF"/>
        <w:spacing w:line="360" w:lineRule="auto"/>
        <w:jc w:val="both"/>
        <w:rPr>
          <w:color w:val="57595D"/>
        </w:rPr>
      </w:pPr>
      <w:r w:rsidRPr="004418DA">
        <w:rPr>
          <w:color w:val="57595D"/>
        </w:rPr>
        <w:t>Since it is traded on a local stock exchange, investors do not need to worry about international trading policies and global laws.</w:t>
      </w:r>
    </w:p>
    <w:p w:rsidR="00524583" w:rsidRPr="004418DA" w:rsidRDefault="00524583" w:rsidP="004418DA">
      <w:pPr>
        <w:pStyle w:val="NormalWeb"/>
        <w:shd w:val="clear" w:color="auto" w:fill="FFFFFF"/>
        <w:spacing w:line="360" w:lineRule="auto"/>
        <w:jc w:val="both"/>
        <w:rPr>
          <w:color w:val="57595D"/>
        </w:rPr>
      </w:pPr>
      <w:r w:rsidRPr="004418DA">
        <w:rPr>
          <w:color w:val="57595D"/>
        </w:rPr>
        <w:t>Although investors will be investing in a company that is in a foreign country, they can still enjoy the same corporate rights, such as being able to vote for the </w:t>
      </w:r>
      <w:hyperlink r:id="rId61" w:history="1">
        <w:r w:rsidRPr="004418DA">
          <w:rPr>
            <w:rStyle w:val="Hyperlink"/>
            <w:color w:val="3271D2"/>
          </w:rPr>
          <w:t>board of directors</w:t>
        </w:r>
      </w:hyperlink>
      <w:r w:rsidRPr="004418DA">
        <w:rPr>
          <w:color w:val="57595D"/>
        </w:rPr>
        <w:t>.</w:t>
      </w:r>
    </w:p>
    <w:p w:rsidR="00524583" w:rsidRPr="004418DA" w:rsidRDefault="00524583" w:rsidP="004418DA">
      <w:pPr>
        <w:pStyle w:val="Heading3"/>
        <w:shd w:val="clear" w:color="auto" w:fill="FFFFFF"/>
        <w:spacing w:line="360" w:lineRule="auto"/>
        <w:jc w:val="both"/>
        <w:rPr>
          <w:rFonts w:ascii="Times New Roman" w:hAnsi="Times New Roman" w:cs="Times New Roman"/>
          <w:color w:val="132E57"/>
        </w:rPr>
      </w:pPr>
      <w:r w:rsidRPr="004418DA">
        <w:rPr>
          <w:rFonts w:ascii="Times New Roman" w:hAnsi="Times New Roman" w:cs="Times New Roman"/>
          <w:color w:val="132E57"/>
        </w:rPr>
        <w:t>Disadvantages of DRs</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t>1. Higher administrative and processing fees, and taxes</w:t>
      </w:r>
    </w:p>
    <w:p w:rsidR="00524583" w:rsidRPr="004418DA" w:rsidRDefault="00524583" w:rsidP="004418DA">
      <w:pPr>
        <w:pStyle w:val="NormalWeb"/>
        <w:shd w:val="clear" w:color="auto" w:fill="FFFFFF"/>
        <w:spacing w:line="360" w:lineRule="auto"/>
        <w:jc w:val="both"/>
        <w:rPr>
          <w:color w:val="57595D"/>
        </w:rPr>
      </w:pPr>
      <w:r w:rsidRPr="004418DA">
        <w:rPr>
          <w:color w:val="57595D"/>
        </w:rPr>
        <w:t>There may be higher administrative and processing fees because you need to compensate for custodial services from the custodian bank. There may also be higher taxes.</w:t>
      </w:r>
    </w:p>
    <w:p w:rsidR="00524583" w:rsidRPr="004418DA" w:rsidRDefault="00524583" w:rsidP="004418DA">
      <w:pPr>
        <w:pStyle w:val="NormalWeb"/>
        <w:shd w:val="clear" w:color="auto" w:fill="FFFFFF"/>
        <w:spacing w:line="360" w:lineRule="auto"/>
        <w:jc w:val="both"/>
        <w:rPr>
          <w:color w:val="57595D"/>
        </w:rPr>
      </w:pPr>
      <w:r w:rsidRPr="004418DA">
        <w:rPr>
          <w:color w:val="57595D"/>
        </w:rPr>
        <w:t>For example, ADRs receive the same capital gains and dividend taxes as other stocks in the U.S. However, the investor is subject to the foreign country’s taxes and regulations aside from regular taxes in the U.S.</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t>2.  Greater risk from forex exchange rate fluctuations</w:t>
      </w:r>
    </w:p>
    <w:p w:rsidR="00524583" w:rsidRPr="004418DA" w:rsidRDefault="00524583" w:rsidP="004418DA">
      <w:pPr>
        <w:pStyle w:val="NormalWeb"/>
        <w:shd w:val="clear" w:color="auto" w:fill="FFFFFF"/>
        <w:spacing w:line="360" w:lineRule="auto"/>
        <w:jc w:val="both"/>
        <w:rPr>
          <w:color w:val="57595D"/>
        </w:rPr>
      </w:pPr>
      <w:r w:rsidRPr="004418DA">
        <w:rPr>
          <w:color w:val="57595D"/>
        </w:rPr>
        <w:t>There is a higher risk due to volatility in foreign currency exchange rates. For example, if an investor purchases a depositary receipt that represents shares in a British company, its value will be affected by the exchange rate between the </w:t>
      </w:r>
      <w:hyperlink r:id="rId62" w:tgtFrame="_blank" w:history="1">
        <w:r w:rsidRPr="004418DA">
          <w:rPr>
            <w:rStyle w:val="Hyperlink"/>
            <w:color w:val="3271D2"/>
          </w:rPr>
          <w:t>British pound</w:t>
        </w:r>
      </w:hyperlink>
      <w:r w:rsidRPr="004418DA">
        <w:rPr>
          <w:color w:val="57595D"/>
        </w:rPr>
        <w:t> and the currency in the buyer’s home country.</w:t>
      </w:r>
    </w:p>
    <w:p w:rsidR="00524583" w:rsidRPr="004418DA" w:rsidRDefault="00524583" w:rsidP="004418DA">
      <w:pPr>
        <w:pStyle w:val="Heading4"/>
        <w:shd w:val="clear" w:color="auto" w:fill="FFFFFF"/>
        <w:spacing w:line="360" w:lineRule="auto"/>
        <w:jc w:val="both"/>
        <w:rPr>
          <w:rFonts w:ascii="Times New Roman" w:hAnsi="Times New Roman" w:cs="Times New Roman"/>
          <w:color w:val="132E57"/>
          <w:sz w:val="24"/>
          <w:szCs w:val="24"/>
        </w:rPr>
      </w:pPr>
      <w:r w:rsidRPr="004418DA">
        <w:rPr>
          <w:rFonts w:ascii="Times New Roman" w:hAnsi="Times New Roman" w:cs="Times New Roman"/>
          <w:color w:val="132E57"/>
          <w:sz w:val="24"/>
          <w:szCs w:val="24"/>
        </w:rPr>
        <w:t>3. Limited access for most investors</w:t>
      </w:r>
    </w:p>
    <w:p w:rsidR="00524583" w:rsidRPr="004418DA" w:rsidRDefault="00524583" w:rsidP="004418DA">
      <w:pPr>
        <w:pStyle w:val="NormalWeb"/>
        <w:shd w:val="clear" w:color="auto" w:fill="FFFFFF"/>
        <w:spacing w:line="360" w:lineRule="auto"/>
        <w:jc w:val="both"/>
        <w:rPr>
          <w:color w:val="57595D"/>
        </w:rPr>
      </w:pPr>
      <w:r w:rsidRPr="004418DA">
        <w:rPr>
          <w:color w:val="57595D"/>
        </w:rPr>
        <w:t>Sometimes, depositary receipts may not be listed on stock exchanges. Therefore, only institutional investors, which are companies or organizations that execute trades on behalf of clients, can invest in them.</w:t>
      </w:r>
    </w:p>
    <w:p w:rsidR="00524583" w:rsidRPr="004418DA" w:rsidRDefault="00524583" w:rsidP="004418DA">
      <w:pPr>
        <w:shd w:val="clear" w:color="auto" w:fill="FFFFFF"/>
        <w:spacing w:before="100" w:beforeAutospacing="1" w:after="24" w:line="360" w:lineRule="auto"/>
        <w:ind w:left="24"/>
        <w:jc w:val="both"/>
        <w:rPr>
          <w:rFonts w:ascii="Times New Roman" w:hAnsi="Times New Roman" w:cs="Times New Roman"/>
          <w:b/>
          <w:color w:val="202122"/>
          <w:sz w:val="24"/>
          <w:szCs w:val="24"/>
        </w:rPr>
      </w:pPr>
      <w:r w:rsidRPr="004418DA">
        <w:rPr>
          <w:rFonts w:ascii="Times New Roman" w:hAnsi="Times New Roman" w:cs="Times New Roman"/>
          <w:b/>
          <w:color w:val="202122"/>
          <w:sz w:val="24"/>
          <w:szCs w:val="24"/>
        </w:rPr>
        <w:t xml:space="preserve">Global Depository </w:t>
      </w:r>
      <w:proofErr w:type="spellStart"/>
      <w:r w:rsidRPr="004418DA">
        <w:rPr>
          <w:rFonts w:ascii="Times New Roman" w:hAnsi="Times New Roman" w:cs="Times New Roman"/>
          <w:b/>
          <w:color w:val="202122"/>
          <w:sz w:val="24"/>
          <w:szCs w:val="24"/>
        </w:rPr>
        <w:t>Reciepts</w:t>
      </w:r>
      <w:proofErr w:type="spellEnd"/>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Global Depository Receipt (GDR) is an instrument in which a company located in domestic country issues one or more of its shares or convertibles </w:t>
      </w:r>
      <w:hyperlink r:id="rId63" w:history="1">
        <w:r w:rsidRPr="004418DA">
          <w:rPr>
            <w:rStyle w:val="Hyperlink"/>
            <w:rFonts w:ascii="Times New Roman" w:hAnsi="Times New Roman" w:cs="Times New Roman"/>
            <w:sz w:val="24"/>
            <w:szCs w:val="24"/>
          </w:rPr>
          <w:t>bonds</w:t>
        </w:r>
      </w:hyperlink>
      <w:r w:rsidRPr="004418DA">
        <w:rPr>
          <w:rFonts w:ascii="Times New Roman" w:hAnsi="Times New Roman" w:cs="Times New Roman"/>
          <w:color w:val="202122"/>
          <w:sz w:val="24"/>
          <w:szCs w:val="24"/>
        </w:rPr>
        <w:t> outside the domestic country.</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lastRenderedPageBreak/>
        <w:t>In GDR, an overseas depository bank i.e. bank outside the domestic territory of a company, issues shares of the company to residents outside the domestic territory. Such shares are in the form of depository receipt or certificate created by overseas the depository bank.</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b/>
          <w:color w:val="202122"/>
          <w:sz w:val="24"/>
          <w:szCs w:val="24"/>
        </w:rPr>
      </w:pPr>
      <w:r w:rsidRPr="004418DA">
        <w:rPr>
          <w:rFonts w:ascii="Times New Roman" w:hAnsi="Times New Roman" w:cs="Times New Roman"/>
          <w:color w:val="202122"/>
          <w:sz w:val="24"/>
          <w:szCs w:val="24"/>
        </w:rPr>
        <w:t>Issue of Global Depository Receipt is one of the most popular ways to tap the global equity markets. A company can raise foreign currency funds by issuing </w:t>
      </w:r>
      <w:hyperlink r:id="rId64" w:history="1">
        <w:r w:rsidRPr="004418DA">
          <w:rPr>
            <w:rStyle w:val="Hyperlink"/>
            <w:rFonts w:ascii="Times New Roman" w:hAnsi="Times New Roman" w:cs="Times New Roman"/>
            <w:sz w:val="24"/>
            <w:szCs w:val="24"/>
          </w:rPr>
          <w:t>equity shares</w:t>
        </w:r>
      </w:hyperlink>
      <w:r w:rsidRPr="004418DA">
        <w:rPr>
          <w:rFonts w:ascii="Times New Roman" w:hAnsi="Times New Roman" w:cs="Times New Roman"/>
          <w:color w:val="202122"/>
          <w:sz w:val="24"/>
          <w:szCs w:val="24"/>
        </w:rPr>
        <w:t> in</w:t>
      </w:r>
      <w:r w:rsidRPr="004418DA">
        <w:rPr>
          <w:rFonts w:ascii="Times New Roman" w:hAnsi="Times New Roman" w:cs="Times New Roman"/>
          <w:b/>
          <w:color w:val="202122"/>
          <w:sz w:val="24"/>
          <w:szCs w:val="24"/>
        </w:rPr>
        <w:t xml:space="preserve"> a </w:t>
      </w:r>
      <w:r w:rsidRPr="004418DA">
        <w:rPr>
          <w:rFonts w:ascii="Times New Roman" w:hAnsi="Times New Roman" w:cs="Times New Roman"/>
          <w:color w:val="202122"/>
          <w:sz w:val="24"/>
          <w:szCs w:val="24"/>
        </w:rPr>
        <w:t>foreign country</w:t>
      </w:r>
      <w:r w:rsidRPr="004418DA">
        <w:rPr>
          <w:rFonts w:ascii="Times New Roman" w:hAnsi="Times New Roman" w:cs="Times New Roman"/>
          <w:b/>
          <w:color w:val="202122"/>
          <w:sz w:val="24"/>
          <w:szCs w:val="24"/>
        </w:rPr>
        <w:t>.</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The domestic company enters into an agreement with the overseas depository bank for the purpose of issue of GDR.</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The overseas depository bank then enters into a custodian agreement with the domestic custodian of such company.</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The domestic custodian holds the equity shares of the company.</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On the instruction of domestic custodian, the overseas depository bank issues shares to foreign investors.</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The whole process is carried out under strict guidelines.</w:t>
      </w:r>
    </w:p>
    <w:p w:rsidR="006D7731" w:rsidRPr="004418DA" w:rsidRDefault="00EE0161" w:rsidP="004418DA">
      <w:pPr>
        <w:numPr>
          <w:ilvl w:val="0"/>
          <w:numId w:val="22"/>
        </w:numPr>
        <w:shd w:val="clear" w:color="auto" w:fill="FFFFFF"/>
        <w:spacing w:before="100" w:beforeAutospacing="1" w:after="24" w:line="360" w:lineRule="auto"/>
        <w:jc w:val="both"/>
        <w:rPr>
          <w:rFonts w:ascii="Times New Roman" w:hAnsi="Times New Roman" w:cs="Times New Roman"/>
          <w:color w:val="202122"/>
          <w:sz w:val="24"/>
          <w:szCs w:val="24"/>
        </w:rPr>
      </w:pPr>
      <w:r w:rsidRPr="004418DA">
        <w:rPr>
          <w:rFonts w:ascii="Times New Roman" w:hAnsi="Times New Roman" w:cs="Times New Roman"/>
          <w:color w:val="202122"/>
          <w:sz w:val="24"/>
          <w:szCs w:val="24"/>
        </w:rPr>
        <w:t>GDRs are usually denominated in U.S. dollars</w:t>
      </w:r>
    </w:p>
    <w:p w:rsidR="00F97DF7" w:rsidRPr="004418DA" w:rsidRDefault="00F97DF7" w:rsidP="004418DA">
      <w:pPr>
        <w:spacing w:line="360" w:lineRule="auto"/>
        <w:jc w:val="both"/>
        <w:rPr>
          <w:rFonts w:ascii="Times New Roman" w:hAnsi="Times New Roman" w:cs="Times New Roman"/>
          <w:color w:val="202122"/>
          <w:sz w:val="24"/>
          <w:szCs w:val="24"/>
        </w:rPr>
      </w:pPr>
    </w:p>
    <w:p w:rsidR="009C470E" w:rsidRPr="004418DA" w:rsidRDefault="009C470E" w:rsidP="004418DA">
      <w:pPr>
        <w:spacing w:line="360" w:lineRule="auto"/>
        <w:jc w:val="both"/>
        <w:rPr>
          <w:rFonts w:ascii="Times New Roman" w:hAnsi="Times New Roman" w:cs="Times New Roman"/>
          <w:b/>
          <w:sz w:val="24"/>
          <w:szCs w:val="24"/>
        </w:rPr>
      </w:pPr>
      <w:r w:rsidRPr="004418DA">
        <w:rPr>
          <w:rFonts w:ascii="Times New Roman" w:hAnsi="Times New Roman" w:cs="Times New Roman"/>
          <w:b/>
          <w:noProof/>
          <w:sz w:val="24"/>
          <w:szCs w:val="24"/>
          <w:lang w:eastAsia="en-IN"/>
        </w:rPr>
        <w:drawing>
          <wp:inline distT="0" distB="0" distL="0" distR="0" wp14:anchorId="2B6287FB" wp14:editId="4DD20035">
            <wp:extent cx="5731510" cy="3343910"/>
            <wp:effectExtent l="0" t="0" r="2540" b="8890"/>
            <wp:docPr id="1026" name="Picture 2" descr="Sources of raising funds in international mark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ources of raising funds in international markets"/>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31510" cy="3343910"/>
                    </a:xfrm>
                    <a:prstGeom prst="rect">
                      <a:avLst/>
                    </a:prstGeom>
                    <a:noFill/>
                    <a:extLst/>
                  </pic:spPr>
                </pic:pic>
              </a:graphicData>
            </a:graphic>
          </wp:inline>
        </w:drawing>
      </w:r>
    </w:p>
    <w:p w:rsidR="00F97DF7" w:rsidRPr="004418DA" w:rsidRDefault="00F97DF7" w:rsidP="004418DA">
      <w:pPr>
        <w:spacing w:line="360" w:lineRule="auto"/>
        <w:jc w:val="both"/>
        <w:rPr>
          <w:rFonts w:ascii="Times New Roman" w:hAnsi="Times New Roman" w:cs="Times New Roman"/>
          <w:b/>
          <w:sz w:val="24"/>
          <w:szCs w:val="24"/>
        </w:rPr>
      </w:pPr>
    </w:p>
    <w:p w:rsidR="00F97DF7" w:rsidRPr="004418DA" w:rsidRDefault="009C470E" w:rsidP="004418DA">
      <w:p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ADVANTAGES OF GDR</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lastRenderedPageBreak/>
        <w:t>GDR provides access to foreign capital markets.</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A company can get itself registered on an overseas stock exchange or over the counter and its shares can be traded in more than one currency.</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expands the global presence of the company which helps in getting international attention and coverage.</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are liquid in nature as they are based on demand and supply which can be regulated.</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valuation of shares in the domestic market increase, on listing in the international market.</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With GDR, the non-residents can invest in shares of the foreign company.</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can be freely transferred.</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Foreign </w:t>
      </w:r>
      <w:hyperlink r:id="rId66" w:history="1">
        <w:r w:rsidRPr="004418DA">
          <w:rPr>
            <w:rStyle w:val="Hyperlink"/>
            <w:rFonts w:ascii="Times New Roman" w:hAnsi="Times New Roman" w:cs="Times New Roman"/>
            <w:sz w:val="24"/>
            <w:szCs w:val="24"/>
          </w:rPr>
          <w:t>Institutional investors</w:t>
        </w:r>
      </w:hyperlink>
      <w:r w:rsidRPr="004418DA">
        <w:rPr>
          <w:rFonts w:ascii="Times New Roman" w:hAnsi="Times New Roman" w:cs="Times New Roman"/>
          <w:sz w:val="24"/>
          <w:szCs w:val="24"/>
        </w:rPr>
        <w:t> can buy the shares of company issuing GDR in their country even if they are restricted to buy shares of foreign company.</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increases the </w:t>
      </w:r>
      <w:hyperlink r:id="rId67" w:history="1">
        <w:r w:rsidRPr="004418DA">
          <w:rPr>
            <w:rStyle w:val="Hyperlink"/>
            <w:rFonts w:ascii="Times New Roman" w:hAnsi="Times New Roman" w:cs="Times New Roman"/>
            <w:sz w:val="24"/>
            <w:szCs w:val="24"/>
          </w:rPr>
          <w:t>shareholders</w:t>
        </w:r>
      </w:hyperlink>
      <w:r w:rsidRPr="004418DA">
        <w:rPr>
          <w:rFonts w:ascii="Times New Roman" w:hAnsi="Times New Roman" w:cs="Times New Roman"/>
          <w:sz w:val="24"/>
          <w:szCs w:val="24"/>
        </w:rPr>
        <w:t> base of the company.</w:t>
      </w:r>
    </w:p>
    <w:p w:rsidR="006D7731" w:rsidRPr="004418DA" w:rsidRDefault="00EE0161" w:rsidP="004418DA">
      <w:pPr>
        <w:numPr>
          <w:ilvl w:val="0"/>
          <w:numId w:val="24"/>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saves the taxes of an investor. An investor would need to pay tax if he purchases shares in the foreign company, whereas in GDR same is not the case</w:t>
      </w:r>
    </w:p>
    <w:p w:rsidR="009C470E" w:rsidRPr="004418DA" w:rsidRDefault="009C470E" w:rsidP="004418DA">
      <w:pPr>
        <w:spacing w:line="360" w:lineRule="auto"/>
        <w:ind w:left="720"/>
        <w:jc w:val="both"/>
        <w:rPr>
          <w:rFonts w:ascii="Times New Roman" w:hAnsi="Times New Roman" w:cs="Times New Roman"/>
          <w:sz w:val="24"/>
          <w:szCs w:val="24"/>
        </w:rPr>
      </w:pPr>
      <w:r w:rsidRPr="004418DA">
        <w:rPr>
          <w:rFonts w:ascii="Times New Roman" w:hAnsi="Times New Roman" w:cs="Times New Roman"/>
          <w:sz w:val="24"/>
          <w:szCs w:val="24"/>
        </w:rPr>
        <w:t>Disadvantages of Global Depository Receipts</w:t>
      </w:r>
      <w:proofErr w:type="gramStart"/>
      <w:r w:rsidRPr="004418DA">
        <w:rPr>
          <w:rFonts w:ascii="Times New Roman" w:hAnsi="Times New Roman" w:cs="Times New Roman"/>
          <w:sz w:val="24"/>
          <w:szCs w:val="24"/>
        </w:rPr>
        <w:t>:;</w:t>
      </w:r>
      <w:proofErr w:type="gramEnd"/>
    </w:p>
    <w:p w:rsidR="006D7731" w:rsidRPr="004418DA" w:rsidRDefault="00EE0161" w:rsidP="004418DA">
      <w:pPr>
        <w:numPr>
          <w:ilvl w:val="0"/>
          <w:numId w:val="27"/>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Violating any regulation can lead to serious consequences against the company.</w:t>
      </w:r>
    </w:p>
    <w:p w:rsidR="006D7731" w:rsidRPr="004418DA" w:rsidRDefault="00EE0161" w:rsidP="004418DA">
      <w:pPr>
        <w:numPr>
          <w:ilvl w:val="0"/>
          <w:numId w:val="27"/>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Dividends are paid in domestic country’s currency which is subject to volatility in the forex market.</w:t>
      </w:r>
    </w:p>
    <w:p w:rsidR="006D7731" w:rsidRPr="004418DA" w:rsidRDefault="00EE0161" w:rsidP="004418DA">
      <w:pPr>
        <w:numPr>
          <w:ilvl w:val="0"/>
          <w:numId w:val="27"/>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It is mostly beneficial to High Net-Worth Individual (HNI) investors due to their capacity to invest high amount in GDR.</w:t>
      </w:r>
    </w:p>
    <w:p w:rsidR="006D7731" w:rsidRPr="004418DA" w:rsidRDefault="00EE0161" w:rsidP="004418DA">
      <w:pPr>
        <w:numPr>
          <w:ilvl w:val="0"/>
          <w:numId w:val="27"/>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GDR is one of the expensive sources of finance.</w:t>
      </w:r>
    </w:p>
    <w:p w:rsidR="009C470E" w:rsidRPr="004418DA" w:rsidRDefault="009C470E" w:rsidP="004418DA">
      <w:pPr>
        <w:spacing w:line="360" w:lineRule="auto"/>
        <w:ind w:left="720"/>
        <w:jc w:val="both"/>
        <w:rPr>
          <w:rFonts w:ascii="Times New Roman" w:hAnsi="Times New Roman" w:cs="Times New Roman"/>
          <w:b/>
          <w:sz w:val="24"/>
          <w:szCs w:val="24"/>
        </w:rPr>
      </w:pPr>
      <w:r w:rsidRPr="004418DA">
        <w:rPr>
          <w:rFonts w:ascii="Times New Roman" w:hAnsi="Times New Roman" w:cs="Times New Roman"/>
          <w:b/>
          <w:sz w:val="24"/>
          <w:szCs w:val="24"/>
        </w:rPr>
        <w:t>AMERICAN DEPOSITORY RECEIPT (ADR)</w:t>
      </w:r>
    </w:p>
    <w:p w:rsidR="006D7731" w:rsidRPr="004418DA" w:rsidRDefault="00EE0161" w:rsidP="004418DA">
      <w:pPr>
        <w:spacing w:line="360" w:lineRule="auto"/>
        <w:ind w:left="720"/>
        <w:jc w:val="both"/>
        <w:rPr>
          <w:rFonts w:ascii="Times New Roman" w:hAnsi="Times New Roman" w:cs="Times New Roman"/>
          <w:sz w:val="24"/>
          <w:szCs w:val="24"/>
        </w:rPr>
      </w:pPr>
      <w:r w:rsidRPr="004418DA">
        <w:rPr>
          <w:rFonts w:ascii="Times New Roman" w:hAnsi="Times New Roman" w:cs="Times New Roman"/>
          <w:sz w:val="24"/>
          <w:szCs w:val="24"/>
        </w:rPr>
        <w:t>American Depository Receipt (ADR) is a certified negotiable instrument issued by an American bank suggesting the number of shares of a foreign company that can be traded in U.S. financial markets.</w:t>
      </w:r>
    </w:p>
    <w:p w:rsidR="009C470E" w:rsidRPr="004418DA" w:rsidRDefault="009C470E" w:rsidP="004418DA">
      <w:pPr>
        <w:spacing w:line="360" w:lineRule="auto"/>
        <w:ind w:left="720"/>
        <w:jc w:val="both"/>
        <w:rPr>
          <w:rFonts w:ascii="Times New Roman" w:hAnsi="Times New Roman" w:cs="Times New Roman"/>
          <w:b/>
          <w:sz w:val="24"/>
          <w:szCs w:val="24"/>
        </w:rPr>
      </w:pPr>
    </w:p>
    <w:p w:rsidR="006D7731" w:rsidRPr="004418DA" w:rsidRDefault="00EE0161" w:rsidP="004418DA">
      <w:pPr>
        <w:spacing w:line="360" w:lineRule="auto"/>
        <w:ind w:left="720"/>
        <w:jc w:val="both"/>
        <w:rPr>
          <w:rFonts w:ascii="Times New Roman" w:hAnsi="Times New Roman" w:cs="Times New Roman"/>
          <w:b/>
          <w:sz w:val="24"/>
          <w:szCs w:val="24"/>
        </w:rPr>
      </w:pPr>
      <w:r w:rsidRPr="004418DA">
        <w:rPr>
          <w:rFonts w:ascii="Times New Roman" w:hAnsi="Times New Roman" w:cs="Times New Roman"/>
          <w:b/>
          <w:sz w:val="24"/>
          <w:szCs w:val="24"/>
        </w:rPr>
        <w:t>AMERICAN DEPOSITORY RECEIPT (ADR) PROCESS</w:t>
      </w:r>
    </w:p>
    <w:p w:rsidR="006D7731" w:rsidRPr="004418DA" w:rsidRDefault="00EE0161" w:rsidP="004418DA">
      <w:pPr>
        <w:numPr>
          <w:ilvl w:val="0"/>
          <w:numId w:val="29"/>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domestic company, already listed in its local stock exchange, sells its shares in bulk to a U.S. bank to get itself listed on U.S. exchange.</w:t>
      </w:r>
    </w:p>
    <w:p w:rsidR="006D7731" w:rsidRPr="004418DA" w:rsidRDefault="00EE0161" w:rsidP="004418DA">
      <w:pPr>
        <w:numPr>
          <w:ilvl w:val="0"/>
          <w:numId w:val="29"/>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U.S. bank accepts the shares of the issuing company. The bank keeps the shares in its security and issues certificates (ADRs) to the interested investors through the exchange.</w:t>
      </w:r>
    </w:p>
    <w:p w:rsidR="006D7731" w:rsidRPr="004418DA" w:rsidRDefault="00EE0161" w:rsidP="004418DA">
      <w:pPr>
        <w:numPr>
          <w:ilvl w:val="0"/>
          <w:numId w:val="29"/>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Investors set the price of the ADRs through bidding process in U.S. dollars. The buying and selling in ADR shares by the investors is possible only after the major U.S. stock exchange lists the bank certificates for trading.</w:t>
      </w:r>
    </w:p>
    <w:p w:rsidR="006D7731" w:rsidRPr="004418DA" w:rsidRDefault="00EE0161" w:rsidP="004418DA">
      <w:pPr>
        <w:numPr>
          <w:ilvl w:val="0"/>
          <w:numId w:val="29"/>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U.S. stock exchange is regulated by Securities Exchange Commission, which keeps a check on necessary compliances that need to be complied by the foreign company.</w:t>
      </w:r>
    </w:p>
    <w:p w:rsidR="009C470E" w:rsidRPr="004418DA" w:rsidRDefault="009C470E" w:rsidP="004418DA">
      <w:pPr>
        <w:spacing w:line="360" w:lineRule="auto"/>
        <w:ind w:left="720"/>
        <w:jc w:val="both"/>
        <w:rPr>
          <w:rFonts w:ascii="Times New Roman" w:hAnsi="Times New Roman" w:cs="Times New Roman"/>
          <w:sz w:val="24"/>
          <w:szCs w:val="24"/>
        </w:rPr>
      </w:pPr>
      <w:r w:rsidRPr="004418DA">
        <w:rPr>
          <w:rFonts w:ascii="Times New Roman" w:hAnsi="Times New Roman" w:cs="Times New Roman"/>
          <w:sz w:val="24"/>
          <w:szCs w:val="24"/>
        </w:rPr>
        <w:t>ADVANTAGES OF AMERICAN DEPOSITORY RECEIPT (ADR)</w:t>
      </w:r>
    </w:p>
    <w:p w:rsidR="006D7731" w:rsidRPr="004418DA" w:rsidRDefault="00EE0161" w:rsidP="004418DA">
      <w:pPr>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American investor can invest in foreign companies which can fetch him higher returns.</w:t>
      </w:r>
    </w:p>
    <w:p w:rsidR="006D7731" w:rsidRPr="004418DA" w:rsidRDefault="00EE0161" w:rsidP="004418DA">
      <w:pPr>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companies located in foreign countries can get registered on American Stock Exchange and have its shares trades in two different countries.</w:t>
      </w:r>
    </w:p>
    <w:p w:rsidR="009C470E" w:rsidRPr="004418DA" w:rsidRDefault="009C470E" w:rsidP="004418DA">
      <w:pPr>
        <w:pStyle w:val="ListParagraph"/>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benefit of currency fluctuation can be availed</w:t>
      </w:r>
    </w:p>
    <w:p w:rsidR="006D7731" w:rsidRPr="004418DA" w:rsidRDefault="00EE0161" w:rsidP="004418DA">
      <w:pPr>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It is an easier way to invest in foreign companies as there are no restrictions to invest in ADR.</w:t>
      </w:r>
    </w:p>
    <w:p w:rsidR="006D7731" w:rsidRPr="004418DA" w:rsidRDefault="00EE0161" w:rsidP="004418DA">
      <w:pPr>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ADR simplifies tax calculations. Trading in shares of foreign company in ADR would lead to tax under US jurisdiction and not in the home country of company.</w:t>
      </w:r>
    </w:p>
    <w:p w:rsidR="006D7731" w:rsidRPr="004418DA" w:rsidRDefault="00EE0161" w:rsidP="004418DA">
      <w:pPr>
        <w:numPr>
          <w:ilvl w:val="0"/>
          <w:numId w:val="33"/>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pricing of shares of foreign companies in ADR is generally cheaper. Hence it provides additional benefit to investors</w:t>
      </w:r>
    </w:p>
    <w:p w:rsidR="009C470E" w:rsidRPr="004418DA" w:rsidRDefault="009C470E" w:rsidP="004418DA">
      <w:pPr>
        <w:spacing w:line="360" w:lineRule="auto"/>
        <w:ind w:left="720"/>
        <w:jc w:val="both"/>
        <w:rPr>
          <w:rFonts w:ascii="Times New Roman" w:hAnsi="Times New Roman" w:cs="Times New Roman"/>
          <w:b/>
          <w:sz w:val="24"/>
          <w:szCs w:val="24"/>
        </w:rPr>
      </w:pPr>
      <w:r w:rsidRPr="004418DA">
        <w:rPr>
          <w:rFonts w:ascii="Times New Roman" w:hAnsi="Times New Roman" w:cs="Times New Roman"/>
          <w:b/>
          <w:sz w:val="24"/>
          <w:szCs w:val="24"/>
        </w:rPr>
        <w:t>Disadvantages of American Depository Receipts</w:t>
      </w:r>
    </w:p>
    <w:p w:rsidR="006D7731" w:rsidRPr="004418DA" w:rsidRDefault="00EE0161" w:rsidP="004418DA">
      <w:pPr>
        <w:numPr>
          <w:ilvl w:val="0"/>
          <w:numId w:val="36"/>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Even though the transactions in ADR take place in US dollars, still they are exposed to the risk associated with foreign exchange fluctuation.</w:t>
      </w:r>
    </w:p>
    <w:p w:rsidR="006D7731" w:rsidRPr="004418DA" w:rsidRDefault="00EE0161" w:rsidP="004418DA">
      <w:pPr>
        <w:numPr>
          <w:ilvl w:val="0"/>
          <w:numId w:val="36"/>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lastRenderedPageBreak/>
        <w:t>The number of options to invest in foreign companies is limited. Only a few companies feel the necessity to register themselves through ADR. This limits the choice available to US investor to invest.</w:t>
      </w:r>
    </w:p>
    <w:p w:rsidR="006D7731" w:rsidRPr="004418DA" w:rsidRDefault="00EE0161" w:rsidP="004418DA">
      <w:pPr>
        <w:numPr>
          <w:ilvl w:val="0"/>
          <w:numId w:val="36"/>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The investment in companies opting for ADR often becomes illiquid as an investor needs to hold the shares for the long term to generate good returns.</w:t>
      </w:r>
    </w:p>
    <w:p w:rsidR="006D7731" w:rsidRPr="004418DA" w:rsidRDefault="00EE0161" w:rsidP="004418DA">
      <w:pPr>
        <w:numPr>
          <w:ilvl w:val="0"/>
          <w:numId w:val="36"/>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The charges for the entire process of ADR are mostly transferred on investors by </w:t>
      </w:r>
      <w:proofErr w:type="spellStart"/>
      <w:r w:rsidRPr="004418DA">
        <w:rPr>
          <w:rFonts w:ascii="Times New Roman" w:hAnsi="Times New Roman" w:cs="Times New Roman"/>
          <w:sz w:val="24"/>
          <w:szCs w:val="24"/>
        </w:rPr>
        <w:t>foreign</w:t>
      </w:r>
      <w:r w:rsidR="009C470E" w:rsidRPr="004418DA">
        <w:rPr>
          <w:rFonts w:ascii="Times New Roman" w:hAnsi="Times New Roman" w:cs="Times New Roman"/>
          <w:sz w:val="24"/>
          <w:szCs w:val="24"/>
          <w:vertAlign w:val="superscript"/>
        </w:rPr>
        <w:t>IDR</w:t>
      </w:r>
      <w:proofErr w:type="spellEnd"/>
      <w:r w:rsidR="009C470E" w:rsidRPr="004418DA">
        <w:rPr>
          <w:rFonts w:ascii="Times New Roman" w:hAnsi="Times New Roman" w:cs="Times New Roman"/>
          <w:sz w:val="24"/>
          <w:szCs w:val="24"/>
          <w:vertAlign w:val="superscript"/>
        </w:rPr>
        <w:t>)</w:t>
      </w:r>
      <w:r w:rsidRPr="004418DA">
        <w:rPr>
          <w:rFonts w:ascii="Times New Roman" w:hAnsi="Times New Roman" w:cs="Times New Roman"/>
          <w:sz w:val="24"/>
          <w:szCs w:val="24"/>
        </w:rPr>
        <w:t> companies.</w:t>
      </w:r>
    </w:p>
    <w:p w:rsidR="006D7731" w:rsidRPr="004418DA" w:rsidRDefault="00EE0161" w:rsidP="004418DA">
      <w:pPr>
        <w:numPr>
          <w:ilvl w:val="0"/>
          <w:numId w:val="36"/>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Any violation of compliance can lead to strict action by the Securities Exchange Commission</w:t>
      </w:r>
    </w:p>
    <w:p w:rsidR="009C470E" w:rsidRPr="004418DA" w:rsidRDefault="009C470E" w:rsidP="004418DA">
      <w:pPr>
        <w:spacing w:line="360" w:lineRule="auto"/>
        <w:ind w:left="720"/>
        <w:jc w:val="both"/>
        <w:rPr>
          <w:rFonts w:ascii="Times New Roman" w:hAnsi="Times New Roman" w:cs="Times New Roman"/>
          <w:sz w:val="24"/>
          <w:szCs w:val="24"/>
        </w:rPr>
      </w:pPr>
      <w:r w:rsidRPr="004418DA">
        <w:rPr>
          <w:rFonts w:ascii="Times New Roman" w:hAnsi="Times New Roman" w:cs="Times New Roman"/>
          <w:noProof/>
          <w:sz w:val="24"/>
          <w:szCs w:val="24"/>
          <w:lang w:eastAsia="en-IN"/>
        </w:rPr>
        <w:drawing>
          <wp:inline distT="0" distB="0" distL="0" distR="0" wp14:anchorId="0379AB58" wp14:editId="35BC4B23">
            <wp:extent cx="5731510" cy="3652520"/>
            <wp:effectExtent l="0" t="0" r="2540" b="5080"/>
            <wp:docPr id="4102" name="Picture 6" descr="ADR and G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 name="Picture 6" descr="ADR and GD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1510" cy="3652520"/>
                    </a:xfrm>
                    <a:prstGeom prst="rect">
                      <a:avLst/>
                    </a:prstGeom>
                    <a:noFill/>
                    <a:extLst/>
                  </pic:spPr>
                </pic:pic>
              </a:graphicData>
            </a:graphic>
          </wp:inline>
        </w:drawing>
      </w:r>
    </w:p>
    <w:p w:rsidR="009C470E" w:rsidRPr="004418DA" w:rsidRDefault="009C470E" w:rsidP="004418DA">
      <w:pPr>
        <w:spacing w:line="360" w:lineRule="auto"/>
        <w:ind w:left="720"/>
        <w:jc w:val="both"/>
        <w:rPr>
          <w:rFonts w:ascii="Times New Roman" w:hAnsi="Times New Roman" w:cs="Times New Roman"/>
          <w:sz w:val="24"/>
          <w:szCs w:val="24"/>
        </w:rPr>
      </w:pPr>
      <w:r w:rsidRPr="004418DA">
        <w:rPr>
          <w:rFonts w:ascii="Times New Roman" w:hAnsi="Times New Roman" w:cs="Times New Roman"/>
          <w:sz w:val="24"/>
          <w:szCs w:val="24"/>
        </w:rPr>
        <w:t xml:space="preserve">Indian Depository </w:t>
      </w:r>
      <w:proofErr w:type="gramStart"/>
      <w:r w:rsidRPr="004418DA">
        <w:rPr>
          <w:rFonts w:ascii="Times New Roman" w:hAnsi="Times New Roman" w:cs="Times New Roman"/>
          <w:sz w:val="24"/>
          <w:szCs w:val="24"/>
        </w:rPr>
        <w:t>Receipt(</w:t>
      </w:r>
      <w:proofErr w:type="gramEnd"/>
      <w:r w:rsidRPr="004418DA">
        <w:rPr>
          <w:rFonts w:ascii="Times New Roman" w:hAnsi="Times New Roman" w:cs="Times New Roman"/>
          <w:sz w:val="24"/>
          <w:szCs w:val="24"/>
        </w:rPr>
        <w:t>IDR)</w:t>
      </w:r>
    </w:p>
    <w:p w:rsidR="006D7731" w:rsidRPr="004418DA" w:rsidRDefault="006D7731" w:rsidP="004418DA">
      <w:pPr>
        <w:spacing w:line="360" w:lineRule="auto"/>
        <w:jc w:val="both"/>
        <w:rPr>
          <w:rFonts w:ascii="Times New Roman" w:hAnsi="Times New Roman" w:cs="Times New Roman"/>
          <w:sz w:val="24"/>
          <w:szCs w:val="24"/>
        </w:rPr>
      </w:pPr>
    </w:p>
    <w:p w:rsidR="009C470E" w:rsidRPr="004418DA" w:rsidRDefault="009C470E" w:rsidP="004418DA">
      <w:pPr>
        <w:spacing w:line="360" w:lineRule="auto"/>
        <w:ind w:left="360"/>
        <w:jc w:val="both"/>
        <w:rPr>
          <w:rFonts w:ascii="Times New Roman" w:hAnsi="Times New Roman" w:cs="Times New Roman"/>
          <w:sz w:val="24"/>
          <w:szCs w:val="24"/>
        </w:rPr>
      </w:pPr>
      <w:r w:rsidRPr="004418DA">
        <w:rPr>
          <w:rFonts w:ascii="Times New Roman" w:hAnsi="Times New Roman" w:cs="Times New Roman"/>
          <w:sz w:val="24"/>
          <w:szCs w:val="24"/>
        </w:rPr>
        <w:t>An IDR is an instrument denominated in Indian Rupees in the form of a depository receipt created by a Domestic Depository (custodian of securities registered with the Securities and Exchange Board of India) against the underlying equity shares of issuing company to enable foreign companies to raise funds from the Indian securities Markets.</w:t>
      </w:r>
    </w:p>
    <w:p w:rsidR="009C470E" w:rsidRPr="004418DA" w:rsidRDefault="009C470E"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lastRenderedPageBreak/>
        <w:t>Foreign issuer is required to file the draft prospectus with SEBI while complying with the requirements of SEBI (ICDR) Regulations</w:t>
      </w:r>
      <w:proofErr w:type="gramStart"/>
      <w:r w:rsidRPr="004418DA">
        <w:rPr>
          <w:rFonts w:ascii="Times New Roman" w:hAnsi="Times New Roman" w:cs="Times New Roman"/>
          <w:sz w:val="24"/>
          <w:szCs w:val="24"/>
        </w:rPr>
        <w:t>,2009</w:t>
      </w:r>
      <w:proofErr w:type="gramEnd"/>
      <w:r w:rsidRPr="004418DA">
        <w:rPr>
          <w:rFonts w:ascii="Times New Roman" w:hAnsi="Times New Roman" w:cs="Times New Roman"/>
          <w:sz w:val="24"/>
          <w:szCs w:val="24"/>
        </w:rPr>
        <w:t>.</w:t>
      </w:r>
    </w:p>
    <w:p w:rsidR="009C470E" w:rsidRPr="004418DA" w:rsidRDefault="009C470E"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IDR’s are listed in Indian stock exchanges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noProof/>
          <w:sz w:val="24"/>
          <w:szCs w:val="24"/>
          <w:lang w:eastAsia="en-IN"/>
        </w:rPr>
        <w:drawing>
          <wp:inline distT="0" distB="0" distL="0" distR="0" wp14:anchorId="051BA380" wp14:editId="7648DB32">
            <wp:extent cx="5731510" cy="3700780"/>
            <wp:effectExtent l="0" t="0" r="254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9"/>
                    <a:stretch>
                      <a:fillRect/>
                    </a:stretch>
                  </pic:blipFill>
                  <pic:spPr>
                    <a:xfrm>
                      <a:off x="0" y="0"/>
                      <a:ext cx="5731510" cy="3700780"/>
                    </a:xfrm>
                    <a:prstGeom prst="rect">
                      <a:avLst/>
                    </a:prstGeom>
                  </pic:spPr>
                </pic:pic>
              </a:graphicData>
            </a:graphic>
          </wp:inline>
        </w:drawing>
      </w:r>
    </w:p>
    <w:p w:rsidR="00EE0161" w:rsidRPr="004418DA" w:rsidRDefault="00EE0161" w:rsidP="004418DA">
      <w:pPr>
        <w:pStyle w:val="ListParagraph"/>
        <w:spacing w:line="360" w:lineRule="auto"/>
        <w:jc w:val="both"/>
        <w:rPr>
          <w:rFonts w:ascii="Times New Roman" w:hAnsi="Times New Roman" w:cs="Times New Roman"/>
          <w:sz w:val="24"/>
          <w:szCs w:val="24"/>
        </w:rPr>
      </w:pPr>
    </w:p>
    <w:p w:rsidR="006D7731" w:rsidRPr="004418DA" w:rsidRDefault="00EE0161" w:rsidP="004418DA">
      <w:pPr>
        <w:pStyle w:val="ListParagraph"/>
        <w:numPr>
          <w:ilvl w:val="0"/>
          <w:numId w:val="38"/>
        </w:numPr>
        <w:spacing w:line="360" w:lineRule="auto"/>
        <w:jc w:val="both"/>
        <w:rPr>
          <w:rFonts w:ascii="Times New Roman" w:hAnsi="Times New Roman" w:cs="Times New Roman"/>
          <w:sz w:val="24"/>
          <w:szCs w:val="24"/>
        </w:rPr>
      </w:pPr>
      <w:r w:rsidRPr="004418DA">
        <w:rPr>
          <w:rFonts w:ascii="Times New Roman" w:hAnsi="Times New Roman" w:cs="Times New Roman"/>
          <w:b/>
          <w:bCs/>
          <w:sz w:val="24"/>
          <w:szCs w:val="24"/>
        </w:rPr>
        <w:t xml:space="preserve">What are the requirements for investing in IDRs?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 IDRs can be purchased by any person who is resident in India as defined under FEMA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 Minimum application amount in an IDR issue shall be </w:t>
      </w:r>
      <w:proofErr w:type="spellStart"/>
      <w:r w:rsidRPr="004418DA">
        <w:rPr>
          <w:rFonts w:ascii="Times New Roman" w:hAnsi="Times New Roman" w:cs="Times New Roman"/>
          <w:sz w:val="24"/>
          <w:szCs w:val="24"/>
        </w:rPr>
        <w:t>Rs</w:t>
      </w:r>
      <w:proofErr w:type="spellEnd"/>
      <w:r w:rsidRPr="004418DA">
        <w:rPr>
          <w:rFonts w:ascii="Times New Roman" w:hAnsi="Times New Roman" w:cs="Times New Roman"/>
          <w:sz w:val="24"/>
          <w:szCs w:val="24"/>
        </w:rPr>
        <w:t xml:space="preserve">. 20,000.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Investments by Indian companies in IDRs shall not exceed the investment limits, if any, prescribed for them under applicable laws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 In every issue of IDR—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At least 50% of the IDRs issued shall be subscribed to by QIBs</w:t>
      </w:r>
      <w:proofErr w:type="gramStart"/>
      <w:r w:rsidRPr="004418DA">
        <w:rPr>
          <w:rFonts w:ascii="Times New Roman" w:hAnsi="Times New Roman" w:cs="Times New Roman"/>
          <w:sz w:val="24"/>
          <w:szCs w:val="24"/>
        </w:rPr>
        <w:t>;  The</w:t>
      </w:r>
      <w:proofErr w:type="gramEnd"/>
      <w:r w:rsidRPr="004418DA">
        <w:rPr>
          <w:rFonts w:ascii="Times New Roman" w:hAnsi="Times New Roman" w:cs="Times New Roman"/>
          <w:sz w:val="24"/>
          <w:szCs w:val="24"/>
        </w:rPr>
        <w:t xml:space="preserve"> balance 50% shall be available for subscription by non-institutional and retail. </w:t>
      </w:r>
    </w:p>
    <w:p w:rsidR="00EE0161" w:rsidRPr="004418DA" w:rsidRDefault="00EE0161" w:rsidP="004418DA">
      <w:pPr>
        <w:pStyle w:val="ListParagraph"/>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 xml:space="preserve"> Merits of IDRs</w:t>
      </w:r>
    </w:p>
    <w:p w:rsidR="00EE0161" w:rsidRPr="004418DA" w:rsidRDefault="00EE0161" w:rsidP="004418DA">
      <w:pPr>
        <w:pStyle w:val="ListParagraph"/>
        <w:spacing w:line="360" w:lineRule="auto"/>
        <w:jc w:val="both"/>
        <w:rPr>
          <w:rFonts w:ascii="Times New Roman" w:hAnsi="Times New Roman" w:cs="Times New Roman"/>
          <w:sz w:val="24"/>
          <w:szCs w:val="24"/>
        </w:rPr>
      </w:pPr>
    </w:p>
    <w:p w:rsidR="006D7731" w:rsidRPr="004418DA" w:rsidRDefault="00EE0161" w:rsidP="004418DA">
      <w:pPr>
        <w:pStyle w:val="ListParagraph"/>
        <w:numPr>
          <w:ilvl w:val="0"/>
          <w:numId w:val="40"/>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IDRs pave the best possible way for the foreign companies to raise funds from Indian market, thus an effective way to build its brand before commencing any full time operations.</w:t>
      </w:r>
    </w:p>
    <w:p w:rsidR="006D7731" w:rsidRPr="004418DA" w:rsidRDefault="00EE0161" w:rsidP="004418DA">
      <w:pPr>
        <w:pStyle w:val="ListParagraph"/>
        <w:numPr>
          <w:ilvl w:val="0"/>
          <w:numId w:val="40"/>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t>IDRs help the foreign companies expand their reach to international investors meeting the wider demand for its shares around the globe.</w:t>
      </w:r>
    </w:p>
    <w:p w:rsidR="006D7731" w:rsidRPr="004418DA" w:rsidRDefault="00EE0161" w:rsidP="004418DA">
      <w:pPr>
        <w:pStyle w:val="ListParagraph"/>
        <w:numPr>
          <w:ilvl w:val="0"/>
          <w:numId w:val="40"/>
        </w:numPr>
        <w:spacing w:line="360" w:lineRule="auto"/>
        <w:jc w:val="both"/>
        <w:rPr>
          <w:rFonts w:ascii="Times New Roman" w:hAnsi="Times New Roman" w:cs="Times New Roman"/>
          <w:sz w:val="24"/>
          <w:szCs w:val="24"/>
        </w:rPr>
      </w:pPr>
      <w:r w:rsidRPr="004418DA">
        <w:rPr>
          <w:rFonts w:ascii="Times New Roman" w:hAnsi="Times New Roman" w:cs="Times New Roman"/>
          <w:sz w:val="24"/>
          <w:szCs w:val="24"/>
        </w:rPr>
        <w:lastRenderedPageBreak/>
        <w:t>Investors in the Indian securities market having interested in the foreign companies do not have to go through the international procedural hurdles and cumbersome clearances to purchase a piece of equity in foreign companies. IDRs act as a simple medium to invest in their equity</w:t>
      </w:r>
    </w:p>
    <w:p w:rsidR="009D4869" w:rsidRPr="004418DA" w:rsidRDefault="009D4869" w:rsidP="004418DA">
      <w:pPr>
        <w:pStyle w:val="ListParagraph"/>
        <w:spacing w:line="360" w:lineRule="auto"/>
        <w:jc w:val="both"/>
        <w:rPr>
          <w:rFonts w:ascii="Times New Roman" w:hAnsi="Times New Roman" w:cs="Times New Roman"/>
          <w:sz w:val="24"/>
          <w:szCs w:val="24"/>
        </w:rPr>
      </w:pPr>
    </w:p>
    <w:p w:rsidR="004418DA" w:rsidRPr="004418DA" w:rsidRDefault="004418DA" w:rsidP="004418DA">
      <w:pPr>
        <w:pStyle w:val="Heading1"/>
        <w:pBdr>
          <w:bottom w:val="single" w:sz="18" w:space="0" w:color="2A5D92"/>
        </w:pBdr>
        <w:shd w:val="clear" w:color="auto" w:fill="FFFFFF"/>
        <w:spacing w:before="0" w:line="360" w:lineRule="auto"/>
        <w:jc w:val="both"/>
        <w:rPr>
          <w:rFonts w:ascii="Times New Roman" w:hAnsi="Times New Roman" w:cs="Times New Roman"/>
          <w:color w:val="2A5D92"/>
          <w:sz w:val="24"/>
          <w:szCs w:val="24"/>
        </w:rPr>
      </w:pPr>
      <w:r w:rsidRPr="004418DA">
        <w:rPr>
          <w:rFonts w:ascii="Times New Roman" w:hAnsi="Times New Roman" w:cs="Times New Roman"/>
          <w:b/>
          <w:bCs/>
          <w:color w:val="2A5D92"/>
          <w:sz w:val="24"/>
          <w:szCs w:val="24"/>
        </w:rPr>
        <w:t>Will IDRs ever make a comeback?</w:t>
      </w:r>
    </w:p>
    <w:p w:rsidR="004418DA" w:rsidRPr="004418DA" w:rsidRDefault="004418DA" w:rsidP="004418DA">
      <w:pPr>
        <w:shd w:val="clear" w:color="auto" w:fill="FFFFFF"/>
        <w:spacing w:line="360" w:lineRule="auto"/>
        <w:jc w:val="both"/>
        <w:rPr>
          <w:rStyle w:val="author-img-name"/>
          <w:rFonts w:ascii="Times New Roman" w:hAnsi="Times New Roman" w:cs="Times New Roman"/>
          <w:color w:val="1375B3"/>
          <w:sz w:val="24"/>
          <w:szCs w:val="24"/>
        </w:rPr>
      </w:pPr>
      <w:hyperlink r:id="rId70" w:history="1">
        <w:r w:rsidRPr="004418DA">
          <w:rPr>
            <w:rStyle w:val="Hyperlink"/>
            <w:rFonts w:ascii="Times New Roman" w:hAnsi="Times New Roman" w:cs="Times New Roman"/>
            <w:color w:val="1375B3"/>
            <w:sz w:val="24"/>
            <w:szCs w:val="24"/>
          </w:rPr>
          <w:t xml:space="preserve">K. S. </w:t>
        </w:r>
        <w:proofErr w:type="spellStart"/>
        <w:r w:rsidRPr="004418DA">
          <w:rPr>
            <w:rStyle w:val="Hyperlink"/>
            <w:rFonts w:ascii="Times New Roman" w:hAnsi="Times New Roman" w:cs="Times New Roman"/>
            <w:color w:val="1375B3"/>
            <w:sz w:val="24"/>
            <w:szCs w:val="24"/>
          </w:rPr>
          <w:t>Badri</w:t>
        </w:r>
        <w:proofErr w:type="spellEnd"/>
        <w:r w:rsidRPr="004418DA">
          <w:rPr>
            <w:rStyle w:val="Hyperlink"/>
            <w:rFonts w:ascii="Times New Roman" w:hAnsi="Times New Roman" w:cs="Times New Roman"/>
            <w:color w:val="1375B3"/>
            <w:sz w:val="24"/>
            <w:szCs w:val="24"/>
          </w:rPr>
          <w:t xml:space="preserve"> Narayanan</w:t>
        </w:r>
      </w:hyperlink>
      <w:r w:rsidRPr="004418DA">
        <w:rPr>
          <w:rStyle w:val="author-img-name"/>
          <w:rFonts w:ascii="Times New Roman" w:hAnsi="Times New Roman" w:cs="Times New Roman"/>
          <w:color w:val="1375B3"/>
          <w:sz w:val="24"/>
          <w:szCs w:val="24"/>
        </w:rPr>
        <w:t> </w:t>
      </w:r>
    </w:p>
    <w:p w:rsidR="004418DA" w:rsidRPr="004418DA" w:rsidRDefault="004418DA" w:rsidP="004418DA">
      <w:pPr>
        <w:shd w:val="clear" w:color="auto" w:fill="FFFFFF"/>
        <w:spacing w:line="360" w:lineRule="auto"/>
        <w:jc w:val="both"/>
        <w:rPr>
          <w:rFonts w:ascii="Times New Roman" w:hAnsi="Times New Roman" w:cs="Times New Roman"/>
          <w:color w:val="505050"/>
          <w:sz w:val="24"/>
          <w:szCs w:val="24"/>
        </w:rPr>
      </w:pPr>
      <w:r w:rsidRPr="004418DA">
        <w:rPr>
          <w:rFonts w:ascii="Times New Roman" w:hAnsi="Times New Roman" w:cs="Times New Roman"/>
          <w:color w:val="505050"/>
          <w:sz w:val="24"/>
          <w:szCs w:val="24"/>
        </w:rPr>
        <w:t>https://www.thehindubusinessline.com/markets/stock-markets/will-idrs-ever-make-a-comeback/article32242614.ece</w:t>
      </w:r>
    </w:p>
    <w:p w:rsidR="004418DA" w:rsidRPr="004418DA" w:rsidRDefault="004418DA" w:rsidP="004418DA">
      <w:pPr>
        <w:shd w:val="clear" w:color="auto" w:fill="FFFFFF"/>
        <w:spacing w:line="360" w:lineRule="auto"/>
        <w:jc w:val="both"/>
        <w:rPr>
          <w:rFonts w:ascii="Times New Roman" w:hAnsi="Times New Roman" w:cs="Times New Roman"/>
          <w:color w:val="505050"/>
          <w:sz w:val="24"/>
          <w:szCs w:val="24"/>
        </w:rPr>
      </w:pPr>
    </w:p>
    <w:p w:rsidR="009D4869" w:rsidRPr="009D4869" w:rsidRDefault="009D4869" w:rsidP="004418DA">
      <w:pPr>
        <w:shd w:val="clear" w:color="auto" w:fill="FFFFFF"/>
        <w:spacing w:after="0" w:line="360" w:lineRule="auto"/>
        <w:jc w:val="both"/>
        <w:rPr>
          <w:rFonts w:ascii="Times New Roman" w:eastAsia="Times New Roman" w:hAnsi="Times New Roman" w:cs="Times New Roman"/>
          <w:sz w:val="24"/>
          <w:szCs w:val="24"/>
          <w:lang w:eastAsia="en-IN"/>
        </w:rPr>
      </w:pPr>
      <w:r w:rsidRPr="009D4869">
        <w:rPr>
          <w:rFonts w:ascii="Times New Roman" w:eastAsia="Times New Roman" w:hAnsi="Times New Roman" w:cs="Times New Roman"/>
          <w:sz w:val="24"/>
          <w:szCs w:val="24"/>
          <w:lang w:eastAsia="en-IN"/>
        </w:rPr>
        <w:t>The only listed Indian Depository Receipt (IDR) quietly bid adieu to the domestic exchanges in June 2020. After a decade-long experiment, Standard Chartered Bank decided to delist, as the issue failed to convince both the bank and investors.</w:t>
      </w:r>
    </w:p>
    <w:p w:rsidR="009D4869" w:rsidRPr="009D4869" w:rsidRDefault="009D4869" w:rsidP="004418DA">
      <w:pPr>
        <w:shd w:val="clear" w:color="auto" w:fill="FFFFFF"/>
        <w:spacing w:after="0" w:line="360" w:lineRule="auto"/>
        <w:jc w:val="both"/>
        <w:rPr>
          <w:rFonts w:ascii="Times New Roman" w:eastAsia="Times New Roman" w:hAnsi="Times New Roman" w:cs="Times New Roman"/>
          <w:sz w:val="24"/>
          <w:szCs w:val="24"/>
          <w:lang w:eastAsia="en-IN"/>
        </w:rPr>
      </w:pPr>
      <w:proofErr w:type="spellStart"/>
      <w:r w:rsidRPr="009D4869">
        <w:rPr>
          <w:rFonts w:ascii="Times New Roman" w:eastAsia="Times New Roman" w:hAnsi="Times New Roman" w:cs="Times New Roman"/>
          <w:sz w:val="24"/>
          <w:szCs w:val="24"/>
          <w:lang w:eastAsia="en-IN"/>
        </w:rPr>
        <w:t>StanChart</w:t>
      </w:r>
      <w:proofErr w:type="spellEnd"/>
      <w:r w:rsidRPr="009D4869">
        <w:rPr>
          <w:rFonts w:ascii="Times New Roman" w:eastAsia="Times New Roman" w:hAnsi="Times New Roman" w:cs="Times New Roman"/>
          <w:sz w:val="24"/>
          <w:szCs w:val="24"/>
          <w:lang w:eastAsia="en-IN"/>
        </w:rPr>
        <w:t xml:space="preserve"> delisted its IDRs from Indian bourses from July</w:t>
      </w:r>
      <w:proofErr w:type="gramStart"/>
      <w:r w:rsidRPr="009D4869">
        <w:rPr>
          <w:rFonts w:ascii="Times New Roman" w:eastAsia="Times New Roman" w:hAnsi="Times New Roman" w:cs="Times New Roman"/>
          <w:sz w:val="24"/>
          <w:szCs w:val="24"/>
          <w:lang w:eastAsia="en-IN"/>
        </w:rPr>
        <w:t>  22</w:t>
      </w:r>
      <w:proofErr w:type="gramEnd"/>
      <w:r w:rsidRPr="009D4869">
        <w:rPr>
          <w:rFonts w:ascii="Times New Roman" w:eastAsia="Times New Roman" w:hAnsi="Times New Roman" w:cs="Times New Roman"/>
          <w:sz w:val="24"/>
          <w:szCs w:val="24"/>
          <w:lang w:eastAsia="en-IN"/>
        </w:rPr>
        <w:t>. The IDRs had made a debut on the Indian bourses exactly 10 years back on June 11, 2010.</w:t>
      </w:r>
    </w:p>
    <w:p w:rsidR="009D4869" w:rsidRPr="009D4869" w:rsidRDefault="009D4869" w:rsidP="004418DA">
      <w:pPr>
        <w:shd w:val="clear" w:color="auto" w:fill="FFFFFF"/>
        <w:spacing w:after="0" w:line="360" w:lineRule="auto"/>
        <w:jc w:val="both"/>
        <w:rPr>
          <w:rFonts w:ascii="Times New Roman" w:eastAsia="Times New Roman" w:hAnsi="Times New Roman" w:cs="Times New Roman"/>
          <w:sz w:val="24"/>
          <w:szCs w:val="24"/>
          <w:lang w:eastAsia="en-IN"/>
        </w:rPr>
      </w:pPr>
      <w:r w:rsidRPr="009D4869">
        <w:rPr>
          <w:rFonts w:ascii="Times New Roman" w:eastAsia="Times New Roman" w:hAnsi="Times New Roman" w:cs="Times New Roman"/>
          <w:sz w:val="24"/>
          <w:szCs w:val="24"/>
          <w:lang w:eastAsia="en-IN"/>
        </w:rPr>
        <w:t>Though market regulator SEBI conceptualised the idea of IDRs in 2000, only in 2010 did the first, and only, IDR take off from Standard Chartered Plc. The bank had raised ₹2,500 crore through the sale of 20.4 million receipts at an issue price of ₹104.</w:t>
      </w:r>
    </w:p>
    <w:p w:rsidR="009D4869" w:rsidRPr="004418DA" w:rsidRDefault="009D4869" w:rsidP="004418DA">
      <w:pPr>
        <w:shd w:val="clear" w:color="auto" w:fill="FFFFFF"/>
        <w:spacing w:after="0" w:line="360" w:lineRule="auto"/>
        <w:jc w:val="both"/>
        <w:rPr>
          <w:rFonts w:ascii="Times New Roman" w:eastAsia="Times New Roman" w:hAnsi="Times New Roman" w:cs="Times New Roman"/>
          <w:sz w:val="24"/>
          <w:szCs w:val="24"/>
          <w:lang w:eastAsia="en-IN"/>
        </w:rPr>
      </w:pPr>
      <w:r w:rsidRPr="009D4869">
        <w:rPr>
          <w:rFonts w:ascii="Times New Roman" w:eastAsia="Times New Roman" w:hAnsi="Times New Roman" w:cs="Times New Roman"/>
          <w:sz w:val="24"/>
          <w:szCs w:val="24"/>
          <w:lang w:eastAsia="en-IN"/>
        </w:rPr>
        <w:t xml:space="preserve">Domestic bourses were not able to attract any other company to raise funds from India through the IDR route. There are a variety of reasons for the lack of interest in IDRs. These include initial entry barrier, lack of </w:t>
      </w:r>
      <w:proofErr w:type="spellStart"/>
      <w:r w:rsidRPr="009D4869">
        <w:rPr>
          <w:rFonts w:ascii="Times New Roman" w:eastAsia="Times New Roman" w:hAnsi="Times New Roman" w:cs="Times New Roman"/>
          <w:sz w:val="24"/>
          <w:szCs w:val="24"/>
          <w:lang w:eastAsia="en-IN"/>
        </w:rPr>
        <w:t>fungibility</w:t>
      </w:r>
      <w:proofErr w:type="spellEnd"/>
      <w:r w:rsidRPr="009D4869">
        <w:rPr>
          <w:rFonts w:ascii="Times New Roman" w:eastAsia="Times New Roman" w:hAnsi="Times New Roman" w:cs="Times New Roman"/>
          <w:sz w:val="24"/>
          <w:szCs w:val="24"/>
          <w:lang w:eastAsia="en-IN"/>
        </w:rPr>
        <w:t xml:space="preserve"> awareness, tax issues and failure to popularise the product across the globe.</w:t>
      </w:r>
    </w:p>
    <w:p w:rsidR="009D4869" w:rsidRPr="004418DA" w:rsidRDefault="009D4869" w:rsidP="004418DA">
      <w:pPr>
        <w:shd w:val="clear" w:color="auto" w:fill="FFFFFF"/>
        <w:spacing w:after="0" w:line="360" w:lineRule="auto"/>
        <w:jc w:val="both"/>
        <w:rPr>
          <w:rFonts w:ascii="Times New Roman" w:hAnsi="Times New Roman" w:cs="Times New Roman"/>
          <w:sz w:val="24"/>
          <w:szCs w:val="24"/>
          <w:shd w:val="clear" w:color="auto" w:fill="FFFFFF"/>
        </w:rPr>
      </w:pPr>
      <w:r w:rsidRPr="004418DA">
        <w:rPr>
          <w:rFonts w:ascii="Times New Roman" w:hAnsi="Times New Roman" w:cs="Times New Roman"/>
          <w:sz w:val="24"/>
          <w:szCs w:val="24"/>
          <w:shd w:val="clear" w:color="auto" w:fill="FFFFFF"/>
        </w:rPr>
        <w:t xml:space="preserve">First, SEBI allowed only qualified institutional buyers to subscribe to IDRs and kept away retail investors. However, later it relaxed the rule by opening 50 per cent of the issue to retail investors. Similarly, the minimum application value, which was originally proposed at ₹2 lakh, was also reduced to ₹20,000 to accommodate retail investor. But by that time, interest in the product had already vanished. Some now feel even ₹20,000 is slightly on the higher side. The minimum issue size of an IDR has been pegged at ₹50 crore. Another issue was </w:t>
      </w:r>
      <w:proofErr w:type="spellStart"/>
      <w:r w:rsidRPr="004418DA">
        <w:rPr>
          <w:rFonts w:ascii="Times New Roman" w:hAnsi="Times New Roman" w:cs="Times New Roman"/>
          <w:sz w:val="24"/>
          <w:szCs w:val="24"/>
          <w:shd w:val="clear" w:color="auto" w:fill="FFFFFF"/>
        </w:rPr>
        <w:t>fungibility</w:t>
      </w:r>
      <w:proofErr w:type="spellEnd"/>
      <w:r w:rsidRPr="004418DA">
        <w:rPr>
          <w:rFonts w:ascii="Times New Roman" w:hAnsi="Times New Roman" w:cs="Times New Roman"/>
          <w:sz w:val="24"/>
          <w:szCs w:val="24"/>
          <w:shd w:val="clear" w:color="auto" w:fill="FFFFFF"/>
        </w:rPr>
        <w:t xml:space="preserve">. Initially there was no </w:t>
      </w:r>
      <w:proofErr w:type="spellStart"/>
      <w:r w:rsidRPr="004418DA">
        <w:rPr>
          <w:rFonts w:ascii="Times New Roman" w:hAnsi="Times New Roman" w:cs="Times New Roman"/>
          <w:sz w:val="24"/>
          <w:szCs w:val="24"/>
          <w:shd w:val="clear" w:color="auto" w:fill="FFFFFF"/>
        </w:rPr>
        <w:t>fungibility</w:t>
      </w:r>
      <w:proofErr w:type="spellEnd"/>
      <w:r w:rsidRPr="004418DA">
        <w:rPr>
          <w:rFonts w:ascii="Times New Roman" w:hAnsi="Times New Roman" w:cs="Times New Roman"/>
          <w:sz w:val="24"/>
          <w:szCs w:val="24"/>
          <w:shd w:val="clear" w:color="auto" w:fill="FFFFFF"/>
        </w:rPr>
        <w:t>, meaning one could not convert the IDR holding into overseas shares</w:t>
      </w:r>
    </w:p>
    <w:p w:rsidR="009D4869" w:rsidRPr="004418DA" w:rsidRDefault="009D4869" w:rsidP="004418DA">
      <w:pPr>
        <w:shd w:val="clear" w:color="auto" w:fill="FFFFFF"/>
        <w:spacing w:after="0" w:line="360" w:lineRule="auto"/>
        <w:jc w:val="both"/>
        <w:rPr>
          <w:rFonts w:ascii="Times New Roman" w:hAnsi="Times New Roman" w:cs="Times New Roman"/>
          <w:sz w:val="24"/>
          <w:szCs w:val="24"/>
          <w:shd w:val="clear" w:color="auto" w:fill="FFFFFF"/>
        </w:rPr>
      </w:pPr>
      <w:r w:rsidRPr="004418DA">
        <w:rPr>
          <w:rFonts w:ascii="Times New Roman" w:hAnsi="Times New Roman" w:cs="Times New Roman"/>
          <w:sz w:val="24"/>
          <w:szCs w:val="24"/>
          <w:shd w:val="clear" w:color="auto" w:fill="FFFFFF"/>
        </w:rPr>
        <w:lastRenderedPageBreak/>
        <w:t xml:space="preserve">However, in 2013, SEBI relaxed the rule allowing two-way </w:t>
      </w:r>
      <w:proofErr w:type="spellStart"/>
      <w:r w:rsidRPr="004418DA">
        <w:rPr>
          <w:rFonts w:ascii="Times New Roman" w:hAnsi="Times New Roman" w:cs="Times New Roman"/>
          <w:sz w:val="24"/>
          <w:szCs w:val="24"/>
          <w:shd w:val="clear" w:color="auto" w:fill="FFFFFF"/>
        </w:rPr>
        <w:t>fungibility</w:t>
      </w:r>
      <w:proofErr w:type="spellEnd"/>
      <w:r w:rsidRPr="004418DA">
        <w:rPr>
          <w:rFonts w:ascii="Times New Roman" w:hAnsi="Times New Roman" w:cs="Times New Roman"/>
          <w:sz w:val="24"/>
          <w:szCs w:val="24"/>
          <w:shd w:val="clear" w:color="auto" w:fill="FFFFFF"/>
        </w:rPr>
        <w:t xml:space="preserve"> — IDRs into overseas equity and foreign shares as IDRs. Despite that, it appears that merchant bankers, custodians and companies are yet to be convinced by this rule alone.</w:t>
      </w:r>
    </w:p>
    <w:p w:rsidR="004418DA" w:rsidRPr="004418DA" w:rsidRDefault="004418DA" w:rsidP="004418DA">
      <w:pPr>
        <w:pStyle w:val="Heading2"/>
        <w:shd w:val="clear" w:color="auto" w:fill="FFFFFF"/>
        <w:spacing w:before="0" w:beforeAutospacing="0" w:after="0" w:afterAutospacing="0" w:line="360" w:lineRule="auto"/>
        <w:jc w:val="both"/>
        <w:rPr>
          <w:b w:val="0"/>
          <w:bCs w:val="0"/>
          <w:sz w:val="24"/>
          <w:szCs w:val="24"/>
        </w:rPr>
      </w:pPr>
      <w:r w:rsidRPr="004418DA">
        <w:rPr>
          <w:b w:val="0"/>
          <w:bCs w:val="0"/>
          <w:sz w:val="24"/>
          <w:szCs w:val="24"/>
        </w:rPr>
        <w:t>Need tax clarity</w:t>
      </w:r>
    </w:p>
    <w:p w:rsidR="004418DA" w:rsidRPr="004418DA" w:rsidRDefault="004418DA" w:rsidP="004418DA">
      <w:pPr>
        <w:pStyle w:val="NormalWeb"/>
        <w:shd w:val="clear" w:color="auto" w:fill="FFFFFF"/>
        <w:spacing w:before="0" w:beforeAutospacing="0" w:after="0" w:afterAutospacing="0" w:line="360" w:lineRule="auto"/>
        <w:jc w:val="both"/>
      </w:pPr>
      <w:r w:rsidRPr="004418DA">
        <w:t>However, the biggest concern was tax liability. According to market experts, there were no specific tax provisions under the Income Tax Act for IDRs. Even now, there is big uncertainty on the tax implications while redeeming IDRs into underlying equity shares.</w:t>
      </w:r>
    </w:p>
    <w:p w:rsidR="004418DA" w:rsidRPr="004418DA" w:rsidRDefault="004418DA" w:rsidP="004418DA">
      <w:pPr>
        <w:pStyle w:val="NormalWeb"/>
        <w:shd w:val="clear" w:color="auto" w:fill="FFFFFF"/>
        <w:spacing w:before="0" w:beforeAutospacing="0" w:after="0" w:afterAutospacing="0" w:line="360" w:lineRule="auto"/>
        <w:jc w:val="both"/>
      </w:pPr>
      <w:r w:rsidRPr="004418DA">
        <w:t>Given the long nature of our tax processing, experts believe that no specific exemption being given to IDRs under the IT Act has made it an unattractive instrument for investors.</w:t>
      </w:r>
    </w:p>
    <w:p w:rsidR="004418DA" w:rsidRPr="009D4869" w:rsidRDefault="004418DA" w:rsidP="004418DA">
      <w:pPr>
        <w:shd w:val="clear" w:color="auto" w:fill="FFFFFF"/>
        <w:spacing w:after="0" w:line="360" w:lineRule="auto"/>
        <w:jc w:val="both"/>
        <w:rPr>
          <w:rFonts w:ascii="Times New Roman" w:eastAsia="Times New Roman" w:hAnsi="Times New Roman" w:cs="Times New Roman"/>
          <w:sz w:val="24"/>
          <w:szCs w:val="24"/>
          <w:lang w:eastAsia="en-IN"/>
        </w:rPr>
      </w:pPr>
      <w:r w:rsidRPr="004418DA">
        <w:rPr>
          <w:rFonts w:ascii="Times New Roman" w:hAnsi="Times New Roman" w:cs="Times New Roman"/>
          <w:sz w:val="24"/>
          <w:szCs w:val="24"/>
          <w:shd w:val="clear" w:color="auto" w:fill="FFFFFF"/>
        </w:rPr>
        <w:t>While these are all structural issues, the biggest hurdle was creating awareness about the IDRs. SEBI, exchanges and market intermediaries have failed to popularise the product outside India.</w:t>
      </w:r>
    </w:p>
    <w:p w:rsidR="009D4869" w:rsidRPr="004418DA" w:rsidRDefault="009D4869" w:rsidP="004418DA">
      <w:pPr>
        <w:pStyle w:val="ListParagraph"/>
        <w:spacing w:line="360" w:lineRule="auto"/>
        <w:jc w:val="both"/>
        <w:rPr>
          <w:rFonts w:ascii="Times New Roman" w:hAnsi="Times New Roman" w:cs="Times New Roman"/>
          <w:sz w:val="24"/>
          <w:szCs w:val="24"/>
        </w:rPr>
      </w:pPr>
    </w:p>
    <w:p w:rsidR="00EE0161" w:rsidRPr="004418DA" w:rsidRDefault="00EE0161" w:rsidP="004418DA">
      <w:pPr>
        <w:pStyle w:val="ListParagraph"/>
        <w:spacing w:line="360" w:lineRule="auto"/>
        <w:jc w:val="both"/>
        <w:rPr>
          <w:rFonts w:ascii="Times New Roman" w:hAnsi="Times New Roman" w:cs="Times New Roman"/>
          <w:sz w:val="24"/>
          <w:szCs w:val="24"/>
        </w:rPr>
      </w:pPr>
    </w:p>
    <w:p w:rsidR="009C470E" w:rsidRPr="004418DA" w:rsidRDefault="009C470E" w:rsidP="004418DA">
      <w:pPr>
        <w:spacing w:line="360" w:lineRule="auto"/>
        <w:ind w:left="720"/>
        <w:jc w:val="both"/>
        <w:rPr>
          <w:rFonts w:ascii="Times New Roman" w:hAnsi="Times New Roman" w:cs="Times New Roman"/>
          <w:b/>
          <w:sz w:val="24"/>
          <w:szCs w:val="24"/>
        </w:rPr>
      </w:pPr>
    </w:p>
    <w:p w:rsidR="009C470E" w:rsidRPr="004418DA" w:rsidRDefault="009C470E" w:rsidP="004418DA">
      <w:pPr>
        <w:spacing w:line="360" w:lineRule="auto"/>
        <w:jc w:val="both"/>
        <w:rPr>
          <w:rFonts w:ascii="Times New Roman" w:hAnsi="Times New Roman" w:cs="Times New Roman"/>
          <w:sz w:val="24"/>
          <w:szCs w:val="24"/>
        </w:rPr>
      </w:pPr>
    </w:p>
    <w:sectPr w:rsidR="009C470E" w:rsidRPr="004418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A311E"/>
    <w:multiLevelType w:val="hybridMultilevel"/>
    <w:tmpl w:val="330E314C"/>
    <w:lvl w:ilvl="0" w:tplc="A9E892B0">
      <w:start w:val="1"/>
      <w:numFmt w:val="bullet"/>
      <w:lvlText w:val=""/>
      <w:lvlJc w:val="left"/>
      <w:pPr>
        <w:tabs>
          <w:tab w:val="num" w:pos="720"/>
        </w:tabs>
        <w:ind w:left="720" w:hanging="360"/>
      </w:pPr>
      <w:rPr>
        <w:rFonts w:ascii="Wingdings 3" w:hAnsi="Wingdings 3" w:hint="default"/>
      </w:rPr>
    </w:lvl>
    <w:lvl w:ilvl="1" w:tplc="0D34DA46" w:tentative="1">
      <w:start w:val="1"/>
      <w:numFmt w:val="bullet"/>
      <w:lvlText w:val=""/>
      <w:lvlJc w:val="left"/>
      <w:pPr>
        <w:tabs>
          <w:tab w:val="num" w:pos="1440"/>
        </w:tabs>
        <w:ind w:left="1440" w:hanging="360"/>
      </w:pPr>
      <w:rPr>
        <w:rFonts w:ascii="Wingdings 3" w:hAnsi="Wingdings 3" w:hint="default"/>
      </w:rPr>
    </w:lvl>
    <w:lvl w:ilvl="2" w:tplc="5CC0A0DE" w:tentative="1">
      <w:start w:val="1"/>
      <w:numFmt w:val="bullet"/>
      <w:lvlText w:val=""/>
      <w:lvlJc w:val="left"/>
      <w:pPr>
        <w:tabs>
          <w:tab w:val="num" w:pos="2160"/>
        </w:tabs>
        <w:ind w:left="2160" w:hanging="360"/>
      </w:pPr>
      <w:rPr>
        <w:rFonts w:ascii="Wingdings 3" w:hAnsi="Wingdings 3" w:hint="default"/>
      </w:rPr>
    </w:lvl>
    <w:lvl w:ilvl="3" w:tplc="058AC07C" w:tentative="1">
      <w:start w:val="1"/>
      <w:numFmt w:val="bullet"/>
      <w:lvlText w:val=""/>
      <w:lvlJc w:val="left"/>
      <w:pPr>
        <w:tabs>
          <w:tab w:val="num" w:pos="2880"/>
        </w:tabs>
        <w:ind w:left="2880" w:hanging="360"/>
      </w:pPr>
      <w:rPr>
        <w:rFonts w:ascii="Wingdings 3" w:hAnsi="Wingdings 3" w:hint="default"/>
      </w:rPr>
    </w:lvl>
    <w:lvl w:ilvl="4" w:tplc="0642678A" w:tentative="1">
      <w:start w:val="1"/>
      <w:numFmt w:val="bullet"/>
      <w:lvlText w:val=""/>
      <w:lvlJc w:val="left"/>
      <w:pPr>
        <w:tabs>
          <w:tab w:val="num" w:pos="3600"/>
        </w:tabs>
        <w:ind w:left="3600" w:hanging="360"/>
      </w:pPr>
      <w:rPr>
        <w:rFonts w:ascii="Wingdings 3" w:hAnsi="Wingdings 3" w:hint="default"/>
      </w:rPr>
    </w:lvl>
    <w:lvl w:ilvl="5" w:tplc="B98A66F8" w:tentative="1">
      <w:start w:val="1"/>
      <w:numFmt w:val="bullet"/>
      <w:lvlText w:val=""/>
      <w:lvlJc w:val="left"/>
      <w:pPr>
        <w:tabs>
          <w:tab w:val="num" w:pos="4320"/>
        </w:tabs>
        <w:ind w:left="4320" w:hanging="360"/>
      </w:pPr>
      <w:rPr>
        <w:rFonts w:ascii="Wingdings 3" w:hAnsi="Wingdings 3" w:hint="default"/>
      </w:rPr>
    </w:lvl>
    <w:lvl w:ilvl="6" w:tplc="AE4E7DA6" w:tentative="1">
      <w:start w:val="1"/>
      <w:numFmt w:val="bullet"/>
      <w:lvlText w:val=""/>
      <w:lvlJc w:val="left"/>
      <w:pPr>
        <w:tabs>
          <w:tab w:val="num" w:pos="5040"/>
        </w:tabs>
        <w:ind w:left="5040" w:hanging="360"/>
      </w:pPr>
      <w:rPr>
        <w:rFonts w:ascii="Wingdings 3" w:hAnsi="Wingdings 3" w:hint="default"/>
      </w:rPr>
    </w:lvl>
    <w:lvl w:ilvl="7" w:tplc="E1DC51B2" w:tentative="1">
      <w:start w:val="1"/>
      <w:numFmt w:val="bullet"/>
      <w:lvlText w:val=""/>
      <w:lvlJc w:val="left"/>
      <w:pPr>
        <w:tabs>
          <w:tab w:val="num" w:pos="5760"/>
        </w:tabs>
        <w:ind w:left="5760" w:hanging="360"/>
      </w:pPr>
      <w:rPr>
        <w:rFonts w:ascii="Wingdings 3" w:hAnsi="Wingdings 3" w:hint="default"/>
      </w:rPr>
    </w:lvl>
    <w:lvl w:ilvl="8" w:tplc="712647E4" w:tentative="1">
      <w:start w:val="1"/>
      <w:numFmt w:val="bullet"/>
      <w:lvlText w:val=""/>
      <w:lvlJc w:val="left"/>
      <w:pPr>
        <w:tabs>
          <w:tab w:val="num" w:pos="6480"/>
        </w:tabs>
        <w:ind w:left="6480" w:hanging="360"/>
      </w:pPr>
      <w:rPr>
        <w:rFonts w:ascii="Wingdings 3" w:hAnsi="Wingdings 3" w:hint="default"/>
      </w:rPr>
    </w:lvl>
  </w:abstractNum>
  <w:abstractNum w:abstractNumId="1">
    <w:nsid w:val="079050E1"/>
    <w:multiLevelType w:val="hybridMultilevel"/>
    <w:tmpl w:val="0DFCBA16"/>
    <w:lvl w:ilvl="0" w:tplc="77822440">
      <w:start w:val="1"/>
      <w:numFmt w:val="bullet"/>
      <w:lvlText w:val=""/>
      <w:lvlJc w:val="left"/>
      <w:pPr>
        <w:tabs>
          <w:tab w:val="num" w:pos="720"/>
        </w:tabs>
        <w:ind w:left="720" w:hanging="360"/>
      </w:pPr>
      <w:rPr>
        <w:rFonts w:ascii="Wingdings 3" w:hAnsi="Wingdings 3" w:hint="default"/>
      </w:rPr>
    </w:lvl>
    <w:lvl w:ilvl="1" w:tplc="EFE0294A" w:tentative="1">
      <w:start w:val="1"/>
      <w:numFmt w:val="bullet"/>
      <w:lvlText w:val=""/>
      <w:lvlJc w:val="left"/>
      <w:pPr>
        <w:tabs>
          <w:tab w:val="num" w:pos="1440"/>
        </w:tabs>
        <w:ind w:left="1440" w:hanging="360"/>
      </w:pPr>
      <w:rPr>
        <w:rFonts w:ascii="Wingdings 3" w:hAnsi="Wingdings 3" w:hint="default"/>
      </w:rPr>
    </w:lvl>
    <w:lvl w:ilvl="2" w:tplc="63D6A25C" w:tentative="1">
      <w:start w:val="1"/>
      <w:numFmt w:val="bullet"/>
      <w:lvlText w:val=""/>
      <w:lvlJc w:val="left"/>
      <w:pPr>
        <w:tabs>
          <w:tab w:val="num" w:pos="2160"/>
        </w:tabs>
        <w:ind w:left="2160" w:hanging="360"/>
      </w:pPr>
      <w:rPr>
        <w:rFonts w:ascii="Wingdings 3" w:hAnsi="Wingdings 3" w:hint="default"/>
      </w:rPr>
    </w:lvl>
    <w:lvl w:ilvl="3" w:tplc="3D1A7F92" w:tentative="1">
      <w:start w:val="1"/>
      <w:numFmt w:val="bullet"/>
      <w:lvlText w:val=""/>
      <w:lvlJc w:val="left"/>
      <w:pPr>
        <w:tabs>
          <w:tab w:val="num" w:pos="2880"/>
        </w:tabs>
        <w:ind w:left="2880" w:hanging="360"/>
      </w:pPr>
      <w:rPr>
        <w:rFonts w:ascii="Wingdings 3" w:hAnsi="Wingdings 3" w:hint="default"/>
      </w:rPr>
    </w:lvl>
    <w:lvl w:ilvl="4" w:tplc="86C2394C" w:tentative="1">
      <w:start w:val="1"/>
      <w:numFmt w:val="bullet"/>
      <w:lvlText w:val=""/>
      <w:lvlJc w:val="left"/>
      <w:pPr>
        <w:tabs>
          <w:tab w:val="num" w:pos="3600"/>
        </w:tabs>
        <w:ind w:left="3600" w:hanging="360"/>
      </w:pPr>
      <w:rPr>
        <w:rFonts w:ascii="Wingdings 3" w:hAnsi="Wingdings 3" w:hint="default"/>
      </w:rPr>
    </w:lvl>
    <w:lvl w:ilvl="5" w:tplc="63E0F8E8" w:tentative="1">
      <w:start w:val="1"/>
      <w:numFmt w:val="bullet"/>
      <w:lvlText w:val=""/>
      <w:lvlJc w:val="left"/>
      <w:pPr>
        <w:tabs>
          <w:tab w:val="num" w:pos="4320"/>
        </w:tabs>
        <w:ind w:left="4320" w:hanging="360"/>
      </w:pPr>
      <w:rPr>
        <w:rFonts w:ascii="Wingdings 3" w:hAnsi="Wingdings 3" w:hint="default"/>
      </w:rPr>
    </w:lvl>
    <w:lvl w:ilvl="6" w:tplc="78304A9E" w:tentative="1">
      <w:start w:val="1"/>
      <w:numFmt w:val="bullet"/>
      <w:lvlText w:val=""/>
      <w:lvlJc w:val="left"/>
      <w:pPr>
        <w:tabs>
          <w:tab w:val="num" w:pos="5040"/>
        </w:tabs>
        <w:ind w:left="5040" w:hanging="360"/>
      </w:pPr>
      <w:rPr>
        <w:rFonts w:ascii="Wingdings 3" w:hAnsi="Wingdings 3" w:hint="default"/>
      </w:rPr>
    </w:lvl>
    <w:lvl w:ilvl="7" w:tplc="10A00880" w:tentative="1">
      <w:start w:val="1"/>
      <w:numFmt w:val="bullet"/>
      <w:lvlText w:val=""/>
      <w:lvlJc w:val="left"/>
      <w:pPr>
        <w:tabs>
          <w:tab w:val="num" w:pos="5760"/>
        </w:tabs>
        <w:ind w:left="5760" w:hanging="360"/>
      </w:pPr>
      <w:rPr>
        <w:rFonts w:ascii="Wingdings 3" w:hAnsi="Wingdings 3" w:hint="default"/>
      </w:rPr>
    </w:lvl>
    <w:lvl w:ilvl="8" w:tplc="902A1F24" w:tentative="1">
      <w:start w:val="1"/>
      <w:numFmt w:val="bullet"/>
      <w:lvlText w:val=""/>
      <w:lvlJc w:val="left"/>
      <w:pPr>
        <w:tabs>
          <w:tab w:val="num" w:pos="6480"/>
        </w:tabs>
        <w:ind w:left="6480" w:hanging="360"/>
      </w:pPr>
      <w:rPr>
        <w:rFonts w:ascii="Wingdings 3" w:hAnsi="Wingdings 3" w:hint="default"/>
      </w:rPr>
    </w:lvl>
  </w:abstractNum>
  <w:abstractNum w:abstractNumId="2">
    <w:nsid w:val="0F684BF7"/>
    <w:multiLevelType w:val="hybridMultilevel"/>
    <w:tmpl w:val="002869DC"/>
    <w:lvl w:ilvl="0" w:tplc="B6DE04F8">
      <w:start w:val="1"/>
      <w:numFmt w:val="bullet"/>
      <w:lvlText w:val=""/>
      <w:lvlJc w:val="left"/>
      <w:pPr>
        <w:tabs>
          <w:tab w:val="num" w:pos="720"/>
        </w:tabs>
        <w:ind w:left="720" w:hanging="360"/>
      </w:pPr>
      <w:rPr>
        <w:rFonts w:ascii="Wingdings 3" w:hAnsi="Wingdings 3" w:hint="default"/>
      </w:rPr>
    </w:lvl>
    <w:lvl w:ilvl="1" w:tplc="1834F9E0" w:tentative="1">
      <w:start w:val="1"/>
      <w:numFmt w:val="bullet"/>
      <w:lvlText w:val=""/>
      <w:lvlJc w:val="left"/>
      <w:pPr>
        <w:tabs>
          <w:tab w:val="num" w:pos="1440"/>
        </w:tabs>
        <w:ind w:left="1440" w:hanging="360"/>
      </w:pPr>
      <w:rPr>
        <w:rFonts w:ascii="Wingdings 3" w:hAnsi="Wingdings 3" w:hint="default"/>
      </w:rPr>
    </w:lvl>
    <w:lvl w:ilvl="2" w:tplc="9B86F3CC" w:tentative="1">
      <w:start w:val="1"/>
      <w:numFmt w:val="bullet"/>
      <w:lvlText w:val=""/>
      <w:lvlJc w:val="left"/>
      <w:pPr>
        <w:tabs>
          <w:tab w:val="num" w:pos="2160"/>
        </w:tabs>
        <w:ind w:left="2160" w:hanging="360"/>
      </w:pPr>
      <w:rPr>
        <w:rFonts w:ascii="Wingdings 3" w:hAnsi="Wingdings 3" w:hint="default"/>
      </w:rPr>
    </w:lvl>
    <w:lvl w:ilvl="3" w:tplc="5D6ED5FA" w:tentative="1">
      <w:start w:val="1"/>
      <w:numFmt w:val="bullet"/>
      <w:lvlText w:val=""/>
      <w:lvlJc w:val="left"/>
      <w:pPr>
        <w:tabs>
          <w:tab w:val="num" w:pos="2880"/>
        </w:tabs>
        <w:ind w:left="2880" w:hanging="360"/>
      </w:pPr>
      <w:rPr>
        <w:rFonts w:ascii="Wingdings 3" w:hAnsi="Wingdings 3" w:hint="default"/>
      </w:rPr>
    </w:lvl>
    <w:lvl w:ilvl="4" w:tplc="9648D58A" w:tentative="1">
      <w:start w:val="1"/>
      <w:numFmt w:val="bullet"/>
      <w:lvlText w:val=""/>
      <w:lvlJc w:val="left"/>
      <w:pPr>
        <w:tabs>
          <w:tab w:val="num" w:pos="3600"/>
        </w:tabs>
        <w:ind w:left="3600" w:hanging="360"/>
      </w:pPr>
      <w:rPr>
        <w:rFonts w:ascii="Wingdings 3" w:hAnsi="Wingdings 3" w:hint="default"/>
      </w:rPr>
    </w:lvl>
    <w:lvl w:ilvl="5" w:tplc="CBB0B65A" w:tentative="1">
      <w:start w:val="1"/>
      <w:numFmt w:val="bullet"/>
      <w:lvlText w:val=""/>
      <w:lvlJc w:val="left"/>
      <w:pPr>
        <w:tabs>
          <w:tab w:val="num" w:pos="4320"/>
        </w:tabs>
        <w:ind w:left="4320" w:hanging="360"/>
      </w:pPr>
      <w:rPr>
        <w:rFonts w:ascii="Wingdings 3" w:hAnsi="Wingdings 3" w:hint="default"/>
      </w:rPr>
    </w:lvl>
    <w:lvl w:ilvl="6" w:tplc="2A8CA0B2" w:tentative="1">
      <w:start w:val="1"/>
      <w:numFmt w:val="bullet"/>
      <w:lvlText w:val=""/>
      <w:lvlJc w:val="left"/>
      <w:pPr>
        <w:tabs>
          <w:tab w:val="num" w:pos="5040"/>
        </w:tabs>
        <w:ind w:left="5040" w:hanging="360"/>
      </w:pPr>
      <w:rPr>
        <w:rFonts w:ascii="Wingdings 3" w:hAnsi="Wingdings 3" w:hint="default"/>
      </w:rPr>
    </w:lvl>
    <w:lvl w:ilvl="7" w:tplc="4D8C5FF8" w:tentative="1">
      <w:start w:val="1"/>
      <w:numFmt w:val="bullet"/>
      <w:lvlText w:val=""/>
      <w:lvlJc w:val="left"/>
      <w:pPr>
        <w:tabs>
          <w:tab w:val="num" w:pos="5760"/>
        </w:tabs>
        <w:ind w:left="5760" w:hanging="360"/>
      </w:pPr>
      <w:rPr>
        <w:rFonts w:ascii="Wingdings 3" w:hAnsi="Wingdings 3" w:hint="default"/>
      </w:rPr>
    </w:lvl>
    <w:lvl w:ilvl="8" w:tplc="0D1070F2" w:tentative="1">
      <w:start w:val="1"/>
      <w:numFmt w:val="bullet"/>
      <w:lvlText w:val=""/>
      <w:lvlJc w:val="left"/>
      <w:pPr>
        <w:tabs>
          <w:tab w:val="num" w:pos="6480"/>
        </w:tabs>
        <w:ind w:left="6480" w:hanging="360"/>
      </w:pPr>
      <w:rPr>
        <w:rFonts w:ascii="Wingdings 3" w:hAnsi="Wingdings 3" w:hint="default"/>
      </w:rPr>
    </w:lvl>
  </w:abstractNum>
  <w:abstractNum w:abstractNumId="3">
    <w:nsid w:val="134A32AD"/>
    <w:multiLevelType w:val="hybridMultilevel"/>
    <w:tmpl w:val="BFDE4F7A"/>
    <w:lvl w:ilvl="0" w:tplc="40090001">
      <w:start w:val="1"/>
      <w:numFmt w:val="bullet"/>
      <w:lvlText w:val=""/>
      <w:lvlJc w:val="left"/>
      <w:pPr>
        <w:tabs>
          <w:tab w:val="num" w:pos="720"/>
        </w:tabs>
        <w:ind w:left="720" w:hanging="360"/>
      </w:pPr>
      <w:rPr>
        <w:rFonts w:ascii="Symbol" w:hAnsi="Symbol" w:hint="default"/>
      </w:rPr>
    </w:lvl>
    <w:lvl w:ilvl="1" w:tplc="DE609282" w:tentative="1">
      <w:start w:val="1"/>
      <w:numFmt w:val="bullet"/>
      <w:lvlText w:val=""/>
      <w:lvlJc w:val="left"/>
      <w:pPr>
        <w:tabs>
          <w:tab w:val="num" w:pos="1440"/>
        </w:tabs>
        <w:ind w:left="1440" w:hanging="360"/>
      </w:pPr>
      <w:rPr>
        <w:rFonts w:ascii="Wingdings 3" w:hAnsi="Wingdings 3" w:hint="default"/>
      </w:rPr>
    </w:lvl>
    <w:lvl w:ilvl="2" w:tplc="E8500220" w:tentative="1">
      <w:start w:val="1"/>
      <w:numFmt w:val="bullet"/>
      <w:lvlText w:val=""/>
      <w:lvlJc w:val="left"/>
      <w:pPr>
        <w:tabs>
          <w:tab w:val="num" w:pos="2160"/>
        </w:tabs>
        <w:ind w:left="2160" w:hanging="360"/>
      </w:pPr>
      <w:rPr>
        <w:rFonts w:ascii="Wingdings 3" w:hAnsi="Wingdings 3" w:hint="default"/>
      </w:rPr>
    </w:lvl>
    <w:lvl w:ilvl="3" w:tplc="D26ABB84" w:tentative="1">
      <w:start w:val="1"/>
      <w:numFmt w:val="bullet"/>
      <w:lvlText w:val=""/>
      <w:lvlJc w:val="left"/>
      <w:pPr>
        <w:tabs>
          <w:tab w:val="num" w:pos="2880"/>
        </w:tabs>
        <w:ind w:left="2880" w:hanging="360"/>
      </w:pPr>
      <w:rPr>
        <w:rFonts w:ascii="Wingdings 3" w:hAnsi="Wingdings 3" w:hint="default"/>
      </w:rPr>
    </w:lvl>
    <w:lvl w:ilvl="4" w:tplc="2C260D12" w:tentative="1">
      <w:start w:val="1"/>
      <w:numFmt w:val="bullet"/>
      <w:lvlText w:val=""/>
      <w:lvlJc w:val="left"/>
      <w:pPr>
        <w:tabs>
          <w:tab w:val="num" w:pos="3600"/>
        </w:tabs>
        <w:ind w:left="3600" w:hanging="360"/>
      </w:pPr>
      <w:rPr>
        <w:rFonts w:ascii="Wingdings 3" w:hAnsi="Wingdings 3" w:hint="default"/>
      </w:rPr>
    </w:lvl>
    <w:lvl w:ilvl="5" w:tplc="D55001F4" w:tentative="1">
      <w:start w:val="1"/>
      <w:numFmt w:val="bullet"/>
      <w:lvlText w:val=""/>
      <w:lvlJc w:val="left"/>
      <w:pPr>
        <w:tabs>
          <w:tab w:val="num" w:pos="4320"/>
        </w:tabs>
        <w:ind w:left="4320" w:hanging="360"/>
      </w:pPr>
      <w:rPr>
        <w:rFonts w:ascii="Wingdings 3" w:hAnsi="Wingdings 3" w:hint="default"/>
      </w:rPr>
    </w:lvl>
    <w:lvl w:ilvl="6" w:tplc="399C8224" w:tentative="1">
      <w:start w:val="1"/>
      <w:numFmt w:val="bullet"/>
      <w:lvlText w:val=""/>
      <w:lvlJc w:val="left"/>
      <w:pPr>
        <w:tabs>
          <w:tab w:val="num" w:pos="5040"/>
        </w:tabs>
        <w:ind w:left="5040" w:hanging="360"/>
      </w:pPr>
      <w:rPr>
        <w:rFonts w:ascii="Wingdings 3" w:hAnsi="Wingdings 3" w:hint="default"/>
      </w:rPr>
    </w:lvl>
    <w:lvl w:ilvl="7" w:tplc="1E5C107E" w:tentative="1">
      <w:start w:val="1"/>
      <w:numFmt w:val="bullet"/>
      <w:lvlText w:val=""/>
      <w:lvlJc w:val="left"/>
      <w:pPr>
        <w:tabs>
          <w:tab w:val="num" w:pos="5760"/>
        </w:tabs>
        <w:ind w:left="5760" w:hanging="360"/>
      </w:pPr>
      <w:rPr>
        <w:rFonts w:ascii="Wingdings 3" w:hAnsi="Wingdings 3" w:hint="default"/>
      </w:rPr>
    </w:lvl>
    <w:lvl w:ilvl="8" w:tplc="2FA2E81E" w:tentative="1">
      <w:start w:val="1"/>
      <w:numFmt w:val="bullet"/>
      <w:lvlText w:val=""/>
      <w:lvlJc w:val="left"/>
      <w:pPr>
        <w:tabs>
          <w:tab w:val="num" w:pos="6480"/>
        </w:tabs>
        <w:ind w:left="6480" w:hanging="360"/>
      </w:pPr>
      <w:rPr>
        <w:rFonts w:ascii="Wingdings 3" w:hAnsi="Wingdings 3" w:hint="default"/>
      </w:rPr>
    </w:lvl>
  </w:abstractNum>
  <w:abstractNum w:abstractNumId="4">
    <w:nsid w:val="1477584B"/>
    <w:multiLevelType w:val="multilevel"/>
    <w:tmpl w:val="E9D09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4441A9"/>
    <w:multiLevelType w:val="hybridMultilevel"/>
    <w:tmpl w:val="82EE5590"/>
    <w:lvl w:ilvl="0" w:tplc="DB1416C2">
      <w:start w:val="1"/>
      <w:numFmt w:val="bullet"/>
      <w:lvlText w:val=""/>
      <w:lvlJc w:val="left"/>
      <w:pPr>
        <w:tabs>
          <w:tab w:val="num" w:pos="720"/>
        </w:tabs>
        <w:ind w:left="720" w:hanging="360"/>
      </w:pPr>
      <w:rPr>
        <w:rFonts w:ascii="Wingdings 3" w:hAnsi="Wingdings 3" w:hint="default"/>
      </w:rPr>
    </w:lvl>
    <w:lvl w:ilvl="1" w:tplc="606EC69A" w:tentative="1">
      <w:start w:val="1"/>
      <w:numFmt w:val="bullet"/>
      <w:lvlText w:val=""/>
      <w:lvlJc w:val="left"/>
      <w:pPr>
        <w:tabs>
          <w:tab w:val="num" w:pos="1440"/>
        </w:tabs>
        <w:ind w:left="1440" w:hanging="360"/>
      </w:pPr>
      <w:rPr>
        <w:rFonts w:ascii="Wingdings 3" w:hAnsi="Wingdings 3" w:hint="default"/>
      </w:rPr>
    </w:lvl>
    <w:lvl w:ilvl="2" w:tplc="B3BCE6F8" w:tentative="1">
      <w:start w:val="1"/>
      <w:numFmt w:val="bullet"/>
      <w:lvlText w:val=""/>
      <w:lvlJc w:val="left"/>
      <w:pPr>
        <w:tabs>
          <w:tab w:val="num" w:pos="2160"/>
        </w:tabs>
        <w:ind w:left="2160" w:hanging="360"/>
      </w:pPr>
      <w:rPr>
        <w:rFonts w:ascii="Wingdings 3" w:hAnsi="Wingdings 3" w:hint="default"/>
      </w:rPr>
    </w:lvl>
    <w:lvl w:ilvl="3" w:tplc="41106EB0" w:tentative="1">
      <w:start w:val="1"/>
      <w:numFmt w:val="bullet"/>
      <w:lvlText w:val=""/>
      <w:lvlJc w:val="left"/>
      <w:pPr>
        <w:tabs>
          <w:tab w:val="num" w:pos="2880"/>
        </w:tabs>
        <w:ind w:left="2880" w:hanging="360"/>
      </w:pPr>
      <w:rPr>
        <w:rFonts w:ascii="Wingdings 3" w:hAnsi="Wingdings 3" w:hint="default"/>
      </w:rPr>
    </w:lvl>
    <w:lvl w:ilvl="4" w:tplc="C7303948" w:tentative="1">
      <w:start w:val="1"/>
      <w:numFmt w:val="bullet"/>
      <w:lvlText w:val=""/>
      <w:lvlJc w:val="left"/>
      <w:pPr>
        <w:tabs>
          <w:tab w:val="num" w:pos="3600"/>
        </w:tabs>
        <w:ind w:left="3600" w:hanging="360"/>
      </w:pPr>
      <w:rPr>
        <w:rFonts w:ascii="Wingdings 3" w:hAnsi="Wingdings 3" w:hint="default"/>
      </w:rPr>
    </w:lvl>
    <w:lvl w:ilvl="5" w:tplc="11067408" w:tentative="1">
      <w:start w:val="1"/>
      <w:numFmt w:val="bullet"/>
      <w:lvlText w:val=""/>
      <w:lvlJc w:val="left"/>
      <w:pPr>
        <w:tabs>
          <w:tab w:val="num" w:pos="4320"/>
        </w:tabs>
        <w:ind w:left="4320" w:hanging="360"/>
      </w:pPr>
      <w:rPr>
        <w:rFonts w:ascii="Wingdings 3" w:hAnsi="Wingdings 3" w:hint="default"/>
      </w:rPr>
    </w:lvl>
    <w:lvl w:ilvl="6" w:tplc="D8943D06" w:tentative="1">
      <w:start w:val="1"/>
      <w:numFmt w:val="bullet"/>
      <w:lvlText w:val=""/>
      <w:lvlJc w:val="left"/>
      <w:pPr>
        <w:tabs>
          <w:tab w:val="num" w:pos="5040"/>
        </w:tabs>
        <w:ind w:left="5040" w:hanging="360"/>
      </w:pPr>
      <w:rPr>
        <w:rFonts w:ascii="Wingdings 3" w:hAnsi="Wingdings 3" w:hint="default"/>
      </w:rPr>
    </w:lvl>
    <w:lvl w:ilvl="7" w:tplc="6B9A778C" w:tentative="1">
      <w:start w:val="1"/>
      <w:numFmt w:val="bullet"/>
      <w:lvlText w:val=""/>
      <w:lvlJc w:val="left"/>
      <w:pPr>
        <w:tabs>
          <w:tab w:val="num" w:pos="5760"/>
        </w:tabs>
        <w:ind w:left="5760" w:hanging="360"/>
      </w:pPr>
      <w:rPr>
        <w:rFonts w:ascii="Wingdings 3" w:hAnsi="Wingdings 3" w:hint="default"/>
      </w:rPr>
    </w:lvl>
    <w:lvl w:ilvl="8" w:tplc="BF92B7F8" w:tentative="1">
      <w:start w:val="1"/>
      <w:numFmt w:val="bullet"/>
      <w:lvlText w:val=""/>
      <w:lvlJc w:val="left"/>
      <w:pPr>
        <w:tabs>
          <w:tab w:val="num" w:pos="6480"/>
        </w:tabs>
        <w:ind w:left="6480" w:hanging="360"/>
      </w:pPr>
      <w:rPr>
        <w:rFonts w:ascii="Wingdings 3" w:hAnsi="Wingdings 3" w:hint="default"/>
      </w:rPr>
    </w:lvl>
  </w:abstractNum>
  <w:abstractNum w:abstractNumId="6">
    <w:nsid w:val="1B943B5E"/>
    <w:multiLevelType w:val="hybridMultilevel"/>
    <w:tmpl w:val="72E2CB64"/>
    <w:lvl w:ilvl="0" w:tplc="40090001">
      <w:start w:val="1"/>
      <w:numFmt w:val="bullet"/>
      <w:lvlText w:val=""/>
      <w:lvlJc w:val="left"/>
      <w:pPr>
        <w:tabs>
          <w:tab w:val="num" w:pos="720"/>
        </w:tabs>
        <w:ind w:left="720" w:hanging="360"/>
      </w:pPr>
      <w:rPr>
        <w:rFonts w:ascii="Symbol" w:hAnsi="Symbol" w:hint="default"/>
      </w:rPr>
    </w:lvl>
    <w:lvl w:ilvl="1" w:tplc="EFE0294A" w:tentative="1">
      <w:start w:val="1"/>
      <w:numFmt w:val="bullet"/>
      <w:lvlText w:val=""/>
      <w:lvlJc w:val="left"/>
      <w:pPr>
        <w:tabs>
          <w:tab w:val="num" w:pos="1440"/>
        </w:tabs>
        <w:ind w:left="1440" w:hanging="360"/>
      </w:pPr>
      <w:rPr>
        <w:rFonts w:ascii="Wingdings 3" w:hAnsi="Wingdings 3" w:hint="default"/>
      </w:rPr>
    </w:lvl>
    <w:lvl w:ilvl="2" w:tplc="63D6A25C" w:tentative="1">
      <w:start w:val="1"/>
      <w:numFmt w:val="bullet"/>
      <w:lvlText w:val=""/>
      <w:lvlJc w:val="left"/>
      <w:pPr>
        <w:tabs>
          <w:tab w:val="num" w:pos="2160"/>
        </w:tabs>
        <w:ind w:left="2160" w:hanging="360"/>
      </w:pPr>
      <w:rPr>
        <w:rFonts w:ascii="Wingdings 3" w:hAnsi="Wingdings 3" w:hint="default"/>
      </w:rPr>
    </w:lvl>
    <w:lvl w:ilvl="3" w:tplc="3D1A7F92" w:tentative="1">
      <w:start w:val="1"/>
      <w:numFmt w:val="bullet"/>
      <w:lvlText w:val=""/>
      <w:lvlJc w:val="left"/>
      <w:pPr>
        <w:tabs>
          <w:tab w:val="num" w:pos="2880"/>
        </w:tabs>
        <w:ind w:left="2880" w:hanging="360"/>
      </w:pPr>
      <w:rPr>
        <w:rFonts w:ascii="Wingdings 3" w:hAnsi="Wingdings 3" w:hint="default"/>
      </w:rPr>
    </w:lvl>
    <w:lvl w:ilvl="4" w:tplc="86C2394C" w:tentative="1">
      <w:start w:val="1"/>
      <w:numFmt w:val="bullet"/>
      <w:lvlText w:val=""/>
      <w:lvlJc w:val="left"/>
      <w:pPr>
        <w:tabs>
          <w:tab w:val="num" w:pos="3600"/>
        </w:tabs>
        <w:ind w:left="3600" w:hanging="360"/>
      </w:pPr>
      <w:rPr>
        <w:rFonts w:ascii="Wingdings 3" w:hAnsi="Wingdings 3" w:hint="default"/>
      </w:rPr>
    </w:lvl>
    <w:lvl w:ilvl="5" w:tplc="63E0F8E8" w:tentative="1">
      <w:start w:val="1"/>
      <w:numFmt w:val="bullet"/>
      <w:lvlText w:val=""/>
      <w:lvlJc w:val="left"/>
      <w:pPr>
        <w:tabs>
          <w:tab w:val="num" w:pos="4320"/>
        </w:tabs>
        <w:ind w:left="4320" w:hanging="360"/>
      </w:pPr>
      <w:rPr>
        <w:rFonts w:ascii="Wingdings 3" w:hAnsi="Wingdings 3" w:hint="default"/>
      </w:rPr>
    </w:lvl>
    <w:lvl w:ilvl="6" w:tplc="78304A9E" w:tentative="1">
      <w:start w:val="1"/>
      <w:numFmt w:val="bullet"/>
      <w:lvlText w:val=""/>
      <w:lvlJc w:val="left"/>
      <w:pPr>
        <w:tabs>
          <w:tab w:val="num" w:pos="5040"/>
        </w:tabs>
        <w:ind w:left="5040" w:hanging="360"/>
      </w:pPr>
      <w:rPr>
        <w:rFonts w:ascii="Wingdings 3" w:hAnsi="Wingdings 3" w:hint="default"/>
      </w:rPr>
    </w:lvl>
    <w:lvl w:ilvl="7" w:tplc="10A00880" w:tentative="1">
      <w:start w:val="1"/>
      <w:numFmt w:val="bullet"/>
      <w:lvlText w:val=""/>
      <w:lvlJc w:val="left"/>
      <w:pPr>
        <w:tabs>
          <w:tab w:val="num" w:pos="5760"/>
        </w:tabs>
        <w:ind w:left="5760" w:hanging="360"/>
      </w:pPr>
      <w:rPr>
        <w:rFonts w:ascii="Wingdings 3" w:hAnsi="Wingdings 3" w:hint="default"/>
      </w:rPr>
    </w:lvl>
    <w:lvl w:ilvl="8" w:tplc="902A1F24" w:tentative="1">
      <w:start w:val="1"/>
      <w:numFmt w:val="bullet"/>
      <w:lvlText w:val=""/>
      <w:lvlJc w:val="left"/>
      <w:pPr>
        <w:tabs>
          <w:tab w:val="num" w:pos="6480"/>
        </w:tabs>
        <w:ind w:left="6480" w:hanging="360"/>
      </w:pPr>
      <w:rPr>
        <w:rFonts w:ascii="Wingdings 3" w:hAnsi="Wingdings 3" w:hint="default"/>
      </w:rPr>
    </w:lvl>
  </w:abstractNum>
  <w:abstractNum w:abstractNumId="7">
    <w:nsid w:val="1C5A6481"/>
    <w:multiLevelType w:val="multilevel"/>
    <w:tmpl w:val="E85CD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E8B6BE2"/>
    <w:multiLevelType w:val="multilevel"/>
    <w:tmpl w:val="1D304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25583E"/>
    <w:multiLevelType w:val="multilevel"/>
    <w:tmpl w:val="F5CADC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DD0059"/>
    <w:multiLevelType w:val="hybridMultilevel"/>
    <w:tmpl w:val="0D0A8F4A"/>
    <w:lvl w:ilvl="0" w:tplc="B492EA48">
      <w:start w:val="1"/>
      <w:numFmt w:val="bullet"/>
      <w:lvlText w:val=""/>
      <w:lvlJc w:val="left"/>
      <w:pPr>
        <w:tabs>
          <w:tab w:val="num" w:pos="720"/>
        </w:tabs>
        <w:ind w:left="720" w:hanging="360"/>
      </w:pPr>
      <w:rPr>
        <w:rFonts w:ascii="Wingdings 3" w:hAnsi="Wingdings 3" w:hint="default"/>
      </w:rPr>
    </w:lvl>
    <w:lvl w:ilvl="1" w:tplc="65A609F8" w:tentative="1">
      <w:start w:val="1"/>
      <w:numFmt w:val="bullet"/>
      <w:lvlText w:val=""/>
      <w:lvlJc w:val="left"/>
      <w:pPr>
        <w:tabs>
          <w:tab w:val="num" w:pos="1440"/>
        </w:tabs>
        <w:ind w:left="1440" w:hanging="360"/>
      </w:pPr>
      <w:rPr>
        <w:rFonts w:ascii="Wingdings 3" w:hAnsi="Wingdings 3" w:hint="default"/>
      </w:rPr>
    </w:lvl>
    <w:lvl w:ilvl="2" w:tplc="AF1074C8" w:tentative="1">
      <w:start w:val="1"/>
      <w:numFmt w:val="bullet"/>
      <w:lvlText w:val=""/>
      <w:lvlJc w:val="left"/>
      <w:pPr>
        <w:tabs>
          <w:tab w:val="num" w:pos="2160"/>
        </w:tabs>
        <w:ind w:left="2160" w:hanging="360"/>
      </w:pPr>
      <w:rPr>
        <w:rFonts w:ascii="Wingdings 3" w:hAnsi="Wingdings 3" w:hint="default"/>
      </w:rPr>
    </w:lvl>
    <w:lvl w:ilvl="3" w:tplc="8B108F86" w:tentative="1">
      <w:start w:val="1"/>
      <w:numFmt w:val="bullet"/>
      <w:lvlText w:val=""/>
      <w:lvlJc w:val="left"/>
      <w:pPr>
        <w:tabs>
          <w:tab w:val="num" w:pos="2880"/>
        </w:tabs>
        <w:ind w:left="2880" w:hanging="360"/>
      </w:pPr>
      <w:rPr>
        <w:rFonts w:ascii="Wingdings 3" w:hAnsi="Wingdings 3" w:hint="default"/>
      </w:rPr>
    </w:lvl>
    <w:lvl w:ilvl="4" w:tplc="936C1788" w:tentative="1">
      <w:start w:val="1"/>
      <w:numFmt w:val="bullet"/>
      <w:lvlText w:val=""/>
      <w:lvlJc w:val="left"/>
      <w:pPr>
        <w:tabs>
          <w:tab w:val="num" w:pos="3600"/>
        </w:tabs>
        <w:ind w:left="3600" w:hanging="360"/>
      </w:pPr>
      <w:rPr>
        <w:rFonts w:ascii="Wingdings 3" w:hAnsi="Wingdings 3" w:hint="default"/>
      </w:rPr>
    </w:lvl>
    <w:lvl w:ilvl="5" w:tplc="271A9152" w:tentative="1">
      <w:start w:val="1"/>
      <w:numFmt w:val="bullet"/>
      <w:lvlText w:val=""/>
      <w:lvlJc w:val="left"/>
      <w:pPr>
        <w:tabs>
          <w:tab w:val="num" w:pos="4320"/>
        </w:tabs>
        <w:ind w:left="4320" w:hanging="360"/>
      </w:pPr>
      <w:rPr>
        <w:rFonts w:ascii="Wingdings 3" w:hAnsi="Wingdings 3" w:hint="default"/>
      </w:rPr>
    </w:lvl>
    <w:lvl w:ilvl="6" w:tplc="98B24F6E" w:tentative="1">
      <w:start w:val="1"/>
      <w:numFmt w:val="bullet"/>
      <w:lvlText w:val=""/>
      <w:lvlJc w:val="left"/>
      <w:pPr>
        <w:tabs>
          <w:tab w:val="num" w:pos="5040"/>
        </w:tabs>
        <w:ind w:left="5040" w:hanging="360"/>
      </w:pPr>
      <w:rPr>
        <w:rFonts w:ascii="Wingdings 3" w:hAnsi="Wingdings 3" w:hint="default"/>
      </w:rPr>
    </w:lvl>
    <w:lvl w:ilvl="7" w:tplc="B5203F90" w:tentative="1">
      <w:start w:val="1"/>
      <w:numFmt w:val="bullet"/>
      <w:lvlText w:val=""/>
      <w:lvlJc w:val="left"/>
      <w:pPr>
        <w:tabs>
          <w:tab w:val="num" w:pos="5760"/>
        </w:tabs>
        <w:ind w:left="5760" w:hanging="360"/>
      </w:pPr>
      <w:rPr>
        <w:rFonts w:ascii="Wingdings 3" w:hAnsi="Wingdings 3" w:hint="default"/>
      </w:rPr>
    </w:lvl>
    <w:lvl w:ilvl="8" w:tplc="07E8A3EA" w:tentative="1">
      <w:start w:val="1"/>
      <w:numFmt w:val="bullet"/>
      <w:lvlText w:val=""/>
      <w:lvlJc w:val="left"/>
      <w:pPr>
        <w:tabs>
          <w:tab w:val="num" w:pos="6480"/>
        </w:tabs>
        <w:ind w:left="6480" w:hanging="360"/>
      </w:pPr>
      <w:rPr>
        <w:rFonts w:ascii="Wingdings 3" w:hAnsi="Wingdings 3" w:hint="default"/>
      </w:rPr>
    </w:lvl>
  </w:abstractNum>
  <w:abstractNum w:abstractNumId="11">
    <w:nsid w:val="28CC63CA"/>
    <w:multiLevelType w:val="multilevel"/>
    <w:tmpl w:val="FAE23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915B9E"/>
    <w:multiLevelType w:val="multilevel"/>
    <w:tmpl w:val="FA621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56036D"/>
    <w:multiLevelType w:val="multilevel"/>
    <w:tmpl w:val="26723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FA219E8"/>
    <w:multiLevelType w:val="hybridMultilevel"/>
    <w:tmpl w:val="FAF8998E"/>
    <w:lvl w:ilvl="0" w:tplc="40090001">
      <w:start w:val="1"/>
      <w:numFmt w:val="bullet"/>
      <w:lvlText w:val=""/>
      <w:lvlJc w:val="left"/>
      <w:pPr>
        <w:tabs>
          <w:tab w:val="num" w:pos="720"/>
        </w:tabs>
        <w:ind w:left="720" w:hanging="360"/>
      </w:pPr>
      <w:rPr>
        <w:rFonts w:ascii="Symbol" w:hAnsi="Symbol" w:hint="default"/>
      </w:rPr>
    </w:lvl>
    <w:lvl w:ilvl="1" w:tplc="0D34DA46" w:tentative="1">
      <w:start w:val="1"/>
      <w:numFmt w:val="bullet"/>
      <w:lvlText w:val=""/>
      <w:lvlJc w:val="left"/>
      <w:pPr>
        <w:tabs>
          <w:tab w:val="num" w:pos="1440"/>
        </w:tabs>
        <w:ind w:left="1440" w:hanging="360"/>
      </w:pPr>
      <w:rPr>
        <w:rFonts w:ascii="Wingdings 3" w:hAnsi="Wingdings 3" w:hint="default"/>
      </w:rPr>
    </w:lvl>
    <w:lvl w:ilvl="2" w:tplc="5CC0A0DE" w:tentative="1">
      <w:start w:val="1"/>
      <w:numFmt w:val="bullet"/>
      <w:lvlText w:val=""/>
      <w:lvlJc w:val="left"/>
      <w:pPr>
        <w:tabs>
          <w:tab w:val="num" w:pos="2160"/>
        </w:tabs>
        <w:ind w:left="2160" w:hanging="360"/>
      </w:pPr>
      <w:rPr>
        <w:rFonts w:ascii="Wingdings 3" w:hAnsi="Wingdings 3" w:hint="default"/>
      </w:rPr>
    </w:lvl>
    <w:lvl w:ilvl="3" w:tplc="058AC07C" w:tentative="1">
      <w:start w:val="1"/>
      <w:numFmt w:val="bullet"/>
      <w:lvlText w:val=""/>
      <w:lvlJc w:val="left"/>
      <w:pPr>
        <w:tabs>
          <w:tab w:val="num" w:pos="2880"/>
        </w:tabs>
        <w:ind w:left="2880" w:hanging="360"/>
      </w:pPr>
      <w:rPr>
        <w:rFonts w:ascii="Wingdings 3" w:hAnsi="Wingdings 3" w:hint="default"/>
      </w:rPr>
    </w:lvl>
    <w:lvl w:ilvl="4" w:tplc="0642678A" w:tentative="1">
      <w:start w:val="1"/>
      <w:numFmt w:val="bullet"/>
      <w:lvlText w:val=""/>
      <w:lvlJc w:val="left"/>
      <w:pPr>
        <w:tabs>
          <w:tab w:val="num" w:pos="3600"/>
        </w:tabs>
        <w:ind w:left="3600" w:hanging="360"/>
      </w:pPr>
      <w:rPr>
        <w:rFonts w:ascii="Wingdings 3" w:hAnsi="Wingdings 3" w:hint="default"/>
      </w:rPr>
    </w:lvl>
    <w:lvl w:ilvl="5" w:tplc="B98A66F8" w:tentative="1">
      <w:start w:val="1"/>
      <w:numFmt w:val="bullet"/>
      <w:lvlText w:val=""/>
      <w:lvlJc w:val="left"/>
      <w:pPr>
        <w:tabs>
          <w:tab w:val="num" w:pos="4320"/>
        </w:tabs>
        <w:ind w:left="4320" w:hanging="360"/>
      </w:pPr>
      <w:rPr>
        <w:rFonts w:ascii="Wingdings 3" w:hAnsi="Wingdings 3" w:hint="default"/>
      </w:rPr>
    </w:lvl>
    <w:lvl w:ilvl="6" w:tplc="AE4E7DA6" w:tentative="1">
      <w:start w:val="1"/>
      <w:numFmt w:val="bullet"/>
      <w:lvlText w:val=""/>
      <w:lvlJc w:val="left"/>
      <w:pPr>
        <w:tabs>
          <w:tab w:val="num" w:pos="5040"/>
        </w:tabs>
        <w:ind w:left="5040" w:hanging="360"/>
      </w:pPr>
      <w:rPr>
        <w:rFonts w:ascii="Wingdings 3" w:hAnsi="Wingdings 3" w:hint="default"/>
      </w:rPr>
    </w:lvl>
    <w:lvl w:ilvl="7" w:tplc="E1DC51B2" w:tentative="1">
      <w:start w:val="1"/>
      <w:numFmt w:val="bullet"/>
      <w:lvlText w:val=""/>
      <w:lvlJc w:val="left"/>
      <w:pPr>
        <w:tabs>
          <w:tab w:val="num" w:pos="5760"/>
        </w:tabs>
        <w:ind w:left="5760" w:hanging="360"/>
      </w:pPr>
      <w:rPr>
        <w:rFonts w:ascii="Wingdings 3" w:hAnsi="Wingdings 3" w:hint="default"/>
      </w:rPr>
    </w:lvl>
    <w:lvl w:ilvl="8" w:tplc="712647E4" w:tentative="1">
      <w:start w:val="1"/>
      <w:numFmt w:val="bullet"/>
      <w:lvlText w:val=""/>
      <w:lvlJc w:val="left"/>
      <w:pPr>
        <w:tabs>
          <w:tab w:val="num" w:pos="6480"/>
        </w:tabs>
        <w:ind w:left="6480" w:hanging="360"/>
      </w:pPr>
      <w:rPr>
        <w:rFonts w:ascii="Wingdings 3" w:hAnsi="Wingdings 3" w:hint="default"/>
      </w:rPr>
    </w:lvl>
  </w:abstractNum>
  <w:abstractNum w:abstractNumId="15">
    <w:nsid w:val="31112374"/>
    <w:multiLevelType w:val="hybridMultilevel"/>
    <w:tmpl w:val="B816A004"/>
    <w:lvl w:ilvl="0" w:tplc="40090001">
      <w:start w:val="1"/>
      <w:numFmt w:val="bullet"/>
      <w:lvlText w:val=""/>
      <w:lvlJc w:val="left"/>
      <w:pPr>
        <w:tabs>
          <w:tab w:val="num" w:pos="720"/>
        </w:tabs>
        <w:ind w:left="720" w:hanging="360"/>
      </w:pPr>
      <w:rPr>
        <w:rFonts w:ascii="Symbol" w:hAnsi="Symbol" w:hint="default"/>
      </w:rPr>
    </w:lvl>
    <w:lvl w:ilvl="1" w:tplc="0B9CCDC6" w:tentative="1">
      <w:start w:val="1"/>
      <w:numFmt w:val="bullet"/>
      <w:lvlText w:val=""/>
      <w:lvlJc w:val="left"/>
      <w:pPr>
        <w:tabs>
          <w:tab w:val="num" w:pos="1440"/>
        </w:tabs>
        <w:ind w:left="1440" w:hanging="360"/>
      </w:pPr>
      <w:rPr>
        <w:rFonts w:ascii="Wingdings 3" w:hAnsi="Wingdings 3" w:hint="default"/>
      </w:rPr>
    </w:lvl>
    <w:lvl w:ilvl="2" w:tplc="A670C812" w:tentative="1">
      <w:start w:val="1"/>
      <w:numFmt w:val="bullet"/>
      <w:lvlText w:val=""/>
      <w:lvlJc w:val="left"/>
      <w:pPr>
        <w:tabs>
          <w:tab w:val="num" w:pos="2160"/>
        </w:tabs>
        <w:ind w:left="2160" w:hanging="360"/>
      </w:pPr>
      <w:rPr>
        <w:rFonts w:ascii="Wingdings 3" w:hAnsi="Wingdings 3" w:hint="default"/>
      </w:rPr>
    </w:lvl>
    <w:lvl w:ilvl="3" w:tplc="F30A750A" w:tentative="1">
      <w:start w:val="1"/>
      <w:numFmt w:val="bullet"/>
      <w:lvlText w:val=""/>
      <w:lvlJc w:val="left"/>
      <w:pPr>
        <w:tabs>
          <w:tab w:val="num" w:pos="2880"/>
        </w:tabs>
        <w:ind w:left="2880" w:hanging="360"/>
      </w:pPr>
      <w:rPr>
        <w:rFonts w:ascii="Wingdings 3" w:hAnsi="Wingdings 3" w:hint="default"/>
      </w:rPr>
    </w:lvl>
    <w:lvl w:ilvl="4" w:tplc="5CBE7D6E" w:tentative="1">
      <w:start w:val="1"/>
      <w:numFmt w:val="bullet"/>
      <w:lvlText w:val=""/>
      <w:lvlJc w:val="left"/>
      <w:pPr>
        <w:tabs>
          <w:tab w:val="num" w:pos="3600"/>
        </w:tabs>
        <w:ind w:left="3600" w:hanging="360"/>
      </w:pPr>
      <w:rPr>
        <w:rFonts w:ascii="Wingdings 3" w:hAnsi="Wingdings 3" w:hint="default"/>
      </w:rPr>
    </w:lvl>
    <w:lvl w:ilvl="5" w:tplc="89167256" w:tentative="1">
      <w:start w:val="1"/>
      <w:numFmt w:val="bullet"/>
      <w:lvlText w:val=""/>
      <w:lvlJc w:val="left"/>
      <w:pPr>
        <w:tabs>
          <w:tab w:val="num" w:pos="4320"/>
        </w:tabs>
        <w:ind w:left="4320" w:hanging="360"/>
      </w:pPr>
      <w:rPr>
        <w:rFonts w:ascii="Wingdings 3" w:hAnsi="Wingdings 3" w:hint="default"/>
      </w:rPr>
    </w:lvl>
    <w:lvl w:ilvl="6" w:tplc="DF3EF97C" w:tentative="1">
      <w:start w:val="1"/>
      <w:numFmt w:val="bullet"/>
      <w:lvlText w:val=""/>
      <w:lvlJc w:val="left"/>
      <w:pPr>
        <w:tabs>
          <w:tab w:val="num" w:pos="5040"/>
        </w:tabs>
        <w:ind w:left="5040" w:hanging="360"/>
      </w:pPr>
      <w:rPr>
        <w:rFonts w:ascii="Wingdings 3" w:hAnsi="Wingdings 3" w:hint="default"/>
      </w:rPr>
    </w:lvl>
    <w:lvl w:ilvl="7" w:tplc="B93E3420" w:tentative="1">
      <w:start w:val="1"/>
      <w:numFmt w:val="bullet"/>
      <w:lvlText w:val=""/>
      <w:lvlJc w:val="left"/>
      <w:pPr>
        <w:tabs>
          <w:tab w:val="num" w:pos="5760"/>
        </w:tabs>
        <w:ind w:left="5760" w:hanging="360"/>
      </w:pPr>
      <w:rPr>
        <w:rFonts w:ascii="Wingdings 3" w:hAnsi="Wingdings 3" w:hint="default"/>
      </w:rPr>
    </w:lvl>
    <w:lvl w:ilvl="8" w:tplc="262CB6B2" w:tentative="1">
      <w:start w:val="1"/>
      <w:numFmt w:val="bullet"/>
      <w:lvlText w:val=""/>
      <w:lvlJc w:val="left"/>
      <w:pPr>
        <w:tabs>
          <w:tab w:val="num" w:pos="6480"/>
        </w:tabs>
        <w:ind w:left="6480" w:hanging="360"/>
      </w:pPr>
      <w:rPr>
        <w:rFonts w:ascii="Wingdings 3" w:hAnsi="Wingdings 3" w:hint="default"/>
      </w:rPr>
    </w:lvl>
  </w:abstractNum>
  <w:abstractNum w:abstractNumId="16">
    <w:nsid w:val="32F942E1"/>
    <w:multiLevelType w:val="hybridMultilevel"/>
    <w:tmpl w:val="D244FF96"/>
    <w:lvl w:ilvl="0" w:tplc="B4E8C6DC">
      <w:start w:val="1"/>
      <w:numFmt w:val="bullet"/>
      <w:lvlText w:val=""/>
      <w:lvlJc w:val="left"/>
      <w:pPr>
        <w:tabs>
          <w:tab w:val="num" w:pos="720"/>
        </w:tabs>
        <w:ind w:left="720" w:hanging="360"/>
      </w:pPr>
      <w:rPr>
        <w:rFonts w:ascii="Wingdings 3" w:hAnsi="Wingdings 3" w:hint="default"/>
      </w:rPr>
    </w:lvl>
    <w:lvl w:ilvl="1" w:tplc="7D14F9F8" w:tentative="1">
      <w:start w:val="1"/>
      <w:numFmt w:val="bullet"/>
      <w:lvlText w:val=""/>
      <w:lvlJc w:val="left"/>
      <w:pPr>
        <w:tabs>
          <w:tab w:val="num" w:pos="1440"/>
        </w:tabs>
        <w:ind w:left="1440" w:hanging="360"/>
      </w:pPr>
      <w:rPr>
        <w:rFonts w:ascii="Wingdings 3" w:hAnsi="Wingdings 3" w:hint="default"/>
      </w:rPr>
    </w:lvl>
    <w:lvl w:ilvl="2" w:tplc="52CE17DE" w:tentative="1">
      <w:start w:val="1"/>
      <w:numFmt w:val="bullet"/>
      <w:lvlText w:val=""/>
      <w:lvlJc w:val="left"/>
      <w:pPr>
        <w:tabs>
          <w:tab w:val="num" w:pos="2160"/>
        </w:tabs>
        <w:ind w:left="2160" w:hanging="360"/>
      </w:pPr>
      <w:rPr>
        <w:rFonts w:ascii="Wingdings 3" w:hAnsi="Wingdings 3" w:hint="default"/>
      </w:rPr>
    </w:lvl>
    <w:lvl w:ilvl="3" w:tplc="07F6AA64" w:tentative="1">
      <w:start w:val="1"/>
      <w:numFmt w:val="bullet"/>
      <w:lvlText w:val=""/>
      <w:lvlJc w:val="left"/>
      <w:pPr>
        <w:tabs>
          <w:tab w:val="num" w:pos="2880"/>
        </w:tabs>
        <w:ind w:left="2880" w:hanging="360"/>
      </w:pPr>
      <w:rPr>
        <w:rFonts w:ascii="Wingdings 3" w:hAnsi="Wingdings 3" w:hint="default"/>
      </w:rPr>
    </w:lvl>
    <w:lvl w:ilvl="4" w:tplc="40F8DB6E" w:tentative="1">
      <w:start w:val="1"/>
      <w:numFmt w:val="bullet"/>
      <w:lvlText w:val=""/>
      <w:lvlJc w:val="left"/>
      <w:pPr>
        <w:tabs>
          <w:tab w:val="num" w:pos="3600"/>
        </w:tabs>
        <w:ind w:left="3600" w:hanging="360"/>
      </w:pPr>
      <w:rPr>
        <w:rFonts w:ascii="Wingdings 3" w:hAnsi="Wingdings 3" w:hint="default"/>
      </w:rPr>
    </w:lvl>
    <w:lvl w:ilvl="5" w:tplc="93DA8222" w:tentative="1">
      <w:start w:val="1"/>
      <w:numFmt w:val="bullet"/>
      <w:lvlText w:val=""/>
      <w:lvlJc w:val="left"/>
      <w:pPr>
        <w:tabs>
          <w:tab w:val="num" w:pos="4320"/>
        </w:tabs>
        <w:ind w:left="4320" w:hanging="360"/>
      </w:pPr>
      <w:rPr>
        <w:rFonts w:ascii="Wingdings 3" w:hAnsi="Wingdings 3" w:hint="default"/>
      </w:rPr>
    </w:lvl>
    <w:lvl w:ilvl="6" w:tplc="DA267864" w:tentative="1">
      <w:start w:val="1"/>
      <w:numFmt w:val="bullet"/>
      <w:lvlText w:val=""/>
      <w:lvlJc w:val="left"/>
      <w:pPr>
        <w:tabs>
          <w:tab w:val="num" w:pos="5040"/>
        </w:tabs>
        <w:ind w:left="5040" w:hanging="360"/>
      </w:pPr>
      <w:rPr>
        <w:rFonts w:ascii="Wingdings 3" w:hAnsi="Wingdings 3" w:hint="default"/>
      </w:rPr>
    </w:lvl>
    <w:lvl w:ilvl="7" w:tplc="343EA1A4" w:tentative="1">
      <w:start w:val="1"/>
      <w:numFmt w:val="bullet"/>
      <w:lvlText w:val=""/>
      <w:lvlJc w:val="left"/>
      <w:pPr>
        <w:tabs>
          <w:tab w:val="num" w:pos="5760"/>
        </w:tabs>
        <w:ind w:left="5760" w:hanging="360"/>
      </w:pPr>
      <w:rPr>
        <w:rFonts w:ascii="Wingdings 3" w:hAnsi="Wingdings 3" w:hint="default"/>
      </w:rPr>
    </w:lvl>
    <w:lvl w:ilvl="8" w:tplc="C2283008" w:tentative="1">
      <w:start w:val="1"/>
      <w:numFmt w:val="bullet"/>
      <w:lvlText w:val=""/>
      <w:lvlJc w:val="left"/>
      <w:pPr>
        <w:tabs>
          <w:tab w:val="num" w:pos="6480"/>
        </w:tabs>
        <w:ind w:left="6480" w:hanging="360"/>
      </w:pPr>
      <w:rPr>
        <w:rFonts w:ascii="Wingdings 3" w:hAnsi="Wingdings 3" w:hint="default"/>
      </w:rPr>
    </w:lvl>
  </w:abstractNum>
  <w:abstractNum w:abstractNumId="17">
    <w:nsid w:val="338B1287"/>
    <w:multiLevelType w:val="multilevel"/>
    <w:tmpl w:val="176AA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C4D1840"/>
    <w:multiLevelType w:val="hybridMultilevel"/>
    <w:tmpl w:val="B740B8AC"/>
    <w:lvl w:ilvl="0" w:tplc="40090001">
      <w:start w:val="1"/>
      <w:numFmt w:val="bullet"/>
      <w:lvlText w:val=""/>
      <w:lvlJc w:val="left"/>
      <w:pPr>
        <w:tabs>
          <w:tab w:val="num" w:pos="720"/>
        </w:tabs>
        <w:ind w:left="720" w:hanging="360"/>
      </w:pPr>
      <w:rPr>
        <w:rFonts w:ascii="Symbol" w:hAnsi="Symbol" w:hint="default"/>
      </w:rPr>
    </w:lvl>
    <w:lvl w:ilvl="1" w:tplc="CD247646" w:tentative="1">
      <w:start w:val="1"/>
      <w:numFmt w:val="bullet"/>
      <w:lvlText w:val=""/>
      <w:lvlJc w:val="left"/>
      <w:pPr>
        <w:tabs>
          <w:tab w:val="num" w:pos="1440"/>
        </w:tabs>
        <w:ind w:left="1440" w:hanging="360"/>
      </w:pPr>
      <w:rPr>
        <w:rFonts w:ascii="Wingdings 3" w:hAnsi="Wingdings 3" w:hint="default"/>
      </w:rPr>
    </w:lvl>
    <w:lvl w:ilvl="2" w:tplc="B9DE2B20" w:tentative="1">
      <w:start w:val="1"/>
      <w:numFmt w:val="bullet"/>
      <w:lvlText w:val=""/>
      <w:lvlJc w:val="left"/>
      <w:pPr>
        <w:tabs>
          <w:tab w:val="num" w:pos="2160"/>
        </w:tabs>
        <w:ind w:left="2160" w:hanging="360"/>
      </w:pPr>
      <w:rPr>
        <w:rFonts w:ascii="Wingdings 3" w:hAnsi="Wingdings 3" w:hint="default"/>
      </w:rPr>
    </w:lvl>
    <w:lvl w:ilvl="3" w:tplc="D27C5478" w:tentative="1">
      <w:start w:val="1"/>
      <w:numFmt w:val="bullet"/>
      <w:lvlText w:val=""/>
      <w:lvlJc w:val="left"/>
      <w:pPr>
        <w:tabs>
          <w:tab w:val="num" w:pos="2880"/>
        </w:tabs>
        <w:ind w:left="2880" w:hanging="360"/>
      </w:pPr>
      <w:rPr>
        <w:rFonts w:ascii="Wingdings 3" w:hAnsi="Wingdings 3" w:hint="default"/>
      </w:rPr>
    </w:lvl>
    <w:lvl w:ilvl="4" w:tplc="11B22AB6" w:tentative="1">
      <w:start w:val="1"/>
      <w:numFmt w:val="bullet"/>
      <w:lvlText w:val=""/>
      <w:lvlJc w:val="left"/>
      <w:pPr>
        <w:tabs>
          <w:tab w:val="num" w:pos="3600"/>
        </w:tabs>
        <w:ind w:left="3600" w:hanging="360"/>
      </w:pPr>
      <w:rPr>
        <w:rFonts w:ascii="Wingdings 3" w:hAnsi="Wingdings 3" w:hint="default"/>
      </w:rPr>
    </w:lvl>
    <w:lvl w:ilvl="5" w:tplc="D6109C8C" w:tentative="1">
      <w:start w:val="1"/>
      <w:numFmt w:val="bullet"/>
      <w:lvlText w:val=""/>
      <w:lvlJc w:val="left"/>
      <w:pPr>
        <w:tabs>
          <w:tab w:val="num" w:pos="4320"/>
        </w:tabs>
        <w:ind w:left="4320" w:hanging="360"/>
      </w:pPr>
      <w:rPr>
        <w:rFonts w:ascii="Wingdings 3" w:hAnsi="Wingdings 3" w:hint="default"/>
      </w:rPr>
    </w:lvl>
    <w:lvl w:ilvl="6" w:tplc="1696EC2C" w:tentative="1">
      <w:start w:val="1"/>
      <w:numFmt w:val="bullet"/>
      <w:lvlText w:val=""/>
      <w:lvlJc w:val="left"/>
      <w:pPr>
        <w:tabs>
          <w:tab w:val="num" w:pos="5040"/>
        </w:tabs>
        <w:ind w:left="5040" w:hanging="360"/>
      </w:pPr>
      <w:rPr>
        <w:rFonts w:ascii="Wingdings 3" w:hAnsi="Wingdings 3" w:hint="default"/>
      </w:rPr>
    </w:lvl>
    <w:lvl w:ilvl="7" w:tplc="ECBEEF54" w:tentative="1">
      <w:start w:val="1"/>
      <w:numFmt w:val="bullet"/>
      <w:lvlText w:val=""/>
      <w:lvlJc w:val="left"/>
      <w:pPr>
        <w:tabs>
          <w:tab w:val="num" w:pos="5760"/>
        </w:tabs>
        <w:ind w:left="5760" w:hanging="360"/>
      </w:pPr>
      <w:rPr>
        <w:rFonts w:ascii="Wingdings 3" w:hAnsi="Wingdings 3" w:hint="default"/>
      </w:rPr>
    </w:lvl>
    <w:lvl w:ilvl="8" w:tplc="143E0D44" w:tentative="1">
      <w:start w:val="1"/>
      <w:numFmt w:val="bullet"/>
      <w:lvlText w:val=""/>
      <w:lvlJc w:val="left"/>
      <w:pPr>
        <w:tabs>
          <w:tab w:val="num" w:pos="6480"/>
        </w:tabs>
        <w:ind w:left="6480" w:hanging="360"/>
      </w:pPr>
      <w:rPr>
        <w:rFonts w:ascii="Wingdings 3" w:hAnsi="Wingdings 3" w:hint="default"/>
      </w:rPr>
    </w:lvl>
  </w:abstractNum>
  <w:abstractNum w:abstractNumId="19">
    <w:nsid w:val="3D0C23AA"/>
    <w:multiLevelType w:val="hybridMultilevel"/>
    <w:tmpl w:val="E93AFD04"/>
    <w:lvl w:ilvl="0" w:tplc="318E703E">
      <w:start w:val="1"/>
      <w:numFmt w:val="bullet"/>
      <w:lvlText w:val=""/>
      <w:lvlJc w:val="left"/>
      <w:pPr>
        <w:tabs>
          <w:tab w:val="num" w:pos="720"/>
        </w:tabs>
        <w:ind w:left="720" w:hanging="360"/>
      </w:pPr>
      <w:rPr>
        <w:rFonts w:ascii="Wingdings 3" w:hAnsi="Wingdings 3" w:hint="default"/>
      </w:rPr>
    </w:lvl>
    <w:lvl w:ilvl="1" w:tplc="5B08DBAE" w:tentative="1">
      <w:start w:val="1"/>
      <w:numFmt w:val="bullet"/>
      <w:lvlText w:val=""/>
      <w:lvlJc w:val="left"/>
      <w:pPr>
        <w:tabs>
          <w:tab w:val="num" w:pos="1440"/>
        </w:tabs>
        <w:ind w:left="1440" w:hanging="360"/>
      </w:pPr>
      <w:rPr>
        <w:rFonts w:ascii="Wingdings 3" w:hAnsi="Wingdings 3" w:hint="default"/>
      </w:rPr>
    </w:lvl>
    <w:lvl w:ilvl="2" w:tplc="61DEDFA8" w:tentative="1">
      <w:start w:val="1"/>
      <w:numFmt w:val="bullet"/>
      <w:lvlText w:val=""/>
      <w:lvlJc w:val="left"/>
      <w:pPr>
        <w:tabs>
          <w:tab w:val="num" w:pos="2160"/>
        </w:tabs>
        <w:ind w:left="2160" w:hanging="360"/>
      </w:pPr>
      <w:rPr>
        <w:rFonts w:ascii="Wingdings 3" w:hAnsi="Wingdings 3" w:hint="default"/>
      </w:rPr>
    </w:lvl>
    <w:lvl w:ilvl="3" w:tplc="B21ED38E" w:tentative="1">
      <w:start w:val="1"/>
      <w:numFmt w:val="bullet"/>
      <w:lvlText w:val=""/>
      <w:lvlJc w:val="left"/>
      <w:pPr>
        <w:tabs>
          <w:tab w:val="num" w:pos="2880"/>
        </w:tabs>
        <w:ind w:left="2880" w:hanging="360"/>
      </w:pPr>
      <w:rPr>
        <w:rFonts w:ascii="Wingdings 3" w:hAnsi="Wingdings 3" w:hint="default"/>
      </w:rPr>
    </w:lvl>
    <w:lvl w:ilvl="4" w:tplc="9E5A78D4" w:tentative="1">
      <w:start w:val="1"/>
      <w:numFmt w:val="bullet"/>
      <w:lvlText w:val=""/>
      <w:lvlJc w:val="left"/>
      <w:pPr>
        <w:tabs>
          <w:tab w:val="num" w:pos="3600"/>
        </w:tabs>
        <w:ind w:left="3600" w:hanging="360"/>
      </w:pPr>
      <w:rPr>
        <w:rFonts w:ascii="Wingdings 3" w:hAnsi="Wingdings 3" w:hint="default"/>
      </w:rPr>
    </w:lvl>
    <w:lvl w:ilvl="5" w:tplc="C52C9CA4" w:tentative="1">
      <w:start w:val="1"/>
      <w:numFmt w:val="bullet"/>
      <w:lvlText w:val=""/>
      <w:lvlJc w:val="left"/>
      <w:pPr>
        <w:tabs>
          <w:tab w:val="num" w:pos="4320"/>
        </w:tabs>
        <w:ind w:left="4320" w:hanging="360"/>
      </w:pPr>
      <w:rPr>
        <w:rFonts w:ascii="Wingdings 3" w:hAnsi="Wingdings 3" w:hint="default"/>
      </w:rPr>
    </w:lvl>
    <w:lvl w:ilvl="6" w:tplc="A7A0447E" w:tentative="1">
      <w:start w:val="1"/>
      <w:numFmt w:val="bullet"/>
      <w:lvlText w:val=""/>
      <w:lvlJc w:val="left"/>
      <w:pPr>
        <w:tabs>
          <w:tab w:val="num" w:pos="5040"/>
        </w:tabs>
        <w:ind w:left="5040" w:hanging="360"/>
      </w:pPr>
      <w:rPr>
        <w:rFonts w:ascii="Wingdings 3" w:hAnsi="Wingdings 3" w:hint="default"/>
      </w:rPr>
    </w:lvl>
    <w:lvl w:ilvl="7" w:tplc="F880E02C" w:tentative="1">
      <w:start w:val="1"/>
      <w:numFmt w:val="bullet"/>
      <w:lvlText w:val=""/>
      <w:lvlJc w:val="left"/>
      <w:pPr>
        <w:tabs>
          <w:tab w:val="num" w:pos="5760"/>
        </w:tabs>
        <w:ind w:left="5760" w:hanging="360"/>
      </w:pPr>
      <w:rPr>
        <w:rFonts w:ascii="Wingdings 3" w:hAnsi="Wingdings 3" w:hint="default"/>
      </w:rPr>
    </w:lvl>
    <w:lvl w:ilvl="8" w:tplc="BCFA4C6A" w:tentative="1">
      <w:start w:val="1"/>
      <w:numFmt w:val="bullet"/>
      <w:lvlText w:val=""/>
      <w:lvlJc w:val="left"/>
      <w:pPr>
        <w:tabs>
          <w:tab w:val="num" w:pos="6480"/>
        </w:tabs>
        <w:ind w:left="6480" w:hanging="360"/>
      </w:pPr>
      <w:rPr>
        <w:rFonts w:ascii="Wingdings 3" w:hAnsi="Wingdings 3" w:hint="default"/>
      </w:rPr>
    </w:lvl>
  </w:abstractNum>
  <w:abstractNum w:abstractNumId="20">
    <w:nsid w:val="40A37396"/>
    <w:multiLevelType w:val="multilevel"/>
    <w:tmpl w:val="21BA4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5DE261D"/>
    <w:multiLevelType w:val="multilevel"/>
    <w:tmpl w:val="D7628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A4B74B7"/>
    <w:multiLevelType w:val="hybridMultilevel"/>
    <w:tmpl w:val="C61CDAF8"/>
    <w:lvl w:ilvl="0" w:tplc="F84407D6">
      <w:start w:val="1"/>
      <w:numFmt w:val="bullet"/>
      <w:lvlText w:val=""/>
      <w:lvlJc w:val="left"/>
      <w:pPr>
        <w:tabs>
          <w:tab w:val="num" w:pos="720"/>
        </w:tabs>
        <w:ind w:left="720" w:hanging="360"/>
      </w:pPr>
      <w:rPr>
        <w:rFonts w:ascii="Wingdings 3" w:hAnsi="Wingdings 3" w:hint="default"/>
      </w:rPr>
    </w:lvl>
    <w:lvl w:ilvl="1" w:tplc="FB441BBE" w:tentative="1">
      <w:start w:val="1"/>
      <w:numFmt w:val="bullet"/>
      <w:lvlText w:val=""/>
      <w:lvlJc w:val="left"/>
      <w:pPr>
        <w:tabs>
          <w:tab w:val="num" w:pos="1440"/>
        </w:tabs>
        <w:ind w:left="1440" w:hanging="360"/>
      </w:pPr>
      <w:rPr>
        <w:rFonts w:ascii="Wingdings 3" w:hAnsi="Wingdings 3" w:hint="default"/>
      </w:rPr>
    </w:lvl>
    <w:lvl w:ilvl="2" w:tplc="BB809830" w:tentative="1">
      <w:start w:val="1"/>
      <w:numFmt w:val="bullet"/>
      <w:lvlText w:val=""/>
      <w:lvlJc w:val="left"/>
      <w:pPr>
        <w:tabs>
          <w:tab w:val="num" w:pos="2160"/>
        </w:tabs>
        <w:ind w:left="2160" w:hanging="360"/>
      </w:pPr>
      <w:rPr>
        <w:rFonts w:ascii="Wingdings 3" w:hAnsi="Wingdings 3" w:hint="default"/>
      </w:rPr>
    </w:lvl>
    <w:lvl w:ilvl="3" w:tplc="D1740026" w:tentative="1">
      <w:start w:val="1"/>
      <w:numFmt w:val="bullet"/>
      <w:lvlText w:val=""/>
      <w:lvlJc w:val="left"/>
      <w:pPr>
        <w:tabs>
          <w:tab w:val="num" w:pos="2880"/>
        </w:tabs>
        <w:ind w:left="2880" w:hanging="360"/>
      </w:pPr>
      <w:rPr>
        <w:rFonts w:ascii="Wingdings 3" w:hAnsi="Wingdings 3" w:hint="default"/>
      </w:rPr>
    </w:lvl>
    <w:lvl w:ilvl="4" w:tplc="F850ABDA" w:tentative="1">
      <w:start w:val="1"/>
      <w:numFmt w:val="bullet"/>
      <w:lvlText w:val=""/>
      <w:lvlJc w:val="left"/>
      <w:pPr>
        <w:tabs>
          <w:tab w:val="num" w:pos="3600"/>
        </w:tabs>
        <w:ind w:left="3600" w:hanging="360"/>
      </w:pPr>
      <w:rPr>
        <w:rFonts w:ascii="Wingdings 3" w:hAnsi="Wingdings 3" w:hint="default"/>
      </w:rPr>
    </w:lvl>
    <w:lvl w:ilvl="5" w:tplc="67AEDE58" w:tentative="1">
      <w:start w:val="1"/>
      <w:numFmt w:val="bullet"/>
      <w:lvlText w:val=""/>
      <w:lvlJc w:val="left"/>
      <w:pPr>
        <w:tabs>
          <w:tab w:val="num" w:pos="4320"/>
        </w:tabs>
        <w:ind w:left="4320" w:hanging="360"/>
      </w:pPr>
      <w:rPr>
        <w:rFonts w:ascii="Wingdings 3" w:hAnsi="Wingdings 3" w:hint="default"/>
      </w:rPr>
    </w:lvl>
    <w:lvl w:ilvl="6" w:tplc="97C87C12" w:tentative="1">
      <w:start w:val="1"/>
      <w:numFmt w:val="bullet"/>
      <w:lvlText w:val=""/>
      <w:lvlJc w:val="left"/>
      <w:pPr>
        <w:tabs>
          <w:tab w:val="num" w:pos="5040"/>
        </w:tabs>
        <w:ind w:left="5040" w:hanging="360"/>
      </w:pPr>
      <w:rPr>
        <w:rFonts w:ascii="Wingdings 3" w:hAnsi="Wingdings 3" w:hint="default"/>
      </w:rPr>
    </w:lvl>
    <w:lvl w:ilvl="7" w:tplc="4686DFB2" w:tentative="1">
      <w:start w:val="1"/>
      <w:numFmt w:val="bullet"/>
      <w:lvlText w:val=""/>
      <w:lvlJc w:val="left"/>
      <w:pPr>
        <w:tabs>
          <w:tab w:val="num" w:pos="5760"/>
        </w:tabs>
        <w:ind w:left="5760" w:hanging="360"/>
      </w:pPr>
      <w:rPr>
        <w:rFonts w:ascii="Wingdings 3" w:hAnsi="Wingdings 3" w:hint="default"/>
      </w:rPr>
    </w:lvl>
    <w:lvl w:ilvl="8" w:tplc="689A4A94" w:tentative="1">
      <w:start w:val="1"/>
      <w:numFmt w:val="bullet"/>
      <w:lvlText w:val=""/>
      <w:lvlJc w:val="left"/>
      <w:pPr>
        <w:tabs>
          <w:tab w:val="num" w:pos="6480"/>
        </w:tabs>
        <w:ind w:left="6480" w:hanging="360"/>
      </w:pPr>
      <w:rPr>
        <w:rFonts w:ascii="Wingdings 3" w:hAnsi="Wingdings 3" w:hint="default"/>
      </w:rPr>
    </w:lvl>
  </w:abstractNum>
  <w:abstractNum w:abstractNumId="23">
    <w:nsid w:val="4DB67D8D"/>
    <w:multiLevelType w:val="multilevel"/>
    <w:tmpl w:val="B0C27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4EE26CF6"/>
    <w:multiLevelType w:val="hybridMultilevel"/>
    <w:tmpl w:val="E648E24E"/>
    <w:lvl w:ilvl="0" w:tplc="46AEF2CA">
      <w:start w:val="1"/>
      <w:numFmt w:val="bullet"/>
      <w:lvlText w:val=""/>
      <w:lvlJc w:val="left"/>
      <w:pPr>
        <w:tabs>
          <w:tab w:val="num" w:pos="720"/>
        </w:tabs>
        <w:ind w:left="720" w:hanging="360"/>
      </w:pPr>
      <w:rPr>
        <w:rFonts w:ascii="Wingdings 3" w:hAnsi="Wingdings 3" w:hint="default"/>
      </w:rPr>
    </w:lvl>
    <w:lvl w:ilvl="1" w:tplc="CD247646" w:tentative="1">
      <w:start w:val="1"/>
      <w:numFmt w:val="bullet"/>
      <w:lvlText w:val=""/>
      <w:lvlJc w:val="left"/>
      <w:pPr>
        <w:tabs>
          <w:tab w:val="num" w:pos="1440"/>
        </w:tabs>
        <w:ind w:left="1440" w:hanging="360"/>
      </w:pPr>
      <w:rPr>
        <w:rFonts w:ascii="Wingdings 3" w:hAnsi="Wingdings 3" w:hint="default"/>
      </w:rPr>
    </w:lvl>
    <w:lvl w:ilvl="2" w:tplc="B9DE2B20" w:tentative="1">
      <w:start w:val="1"/>
      <w:numFmt w:val="bullet"/>
      <w:lvlText w:val=""/>
      <w:lvlJc w:val="left"/>
      <w:pPr>
        <w:tabs>
          <w:tab w:val="num" w:pos="2160"/>
        </w:tabs>
        <w:ind w:left="2160" w:hanging="360"/>
      </w:pPr>
      <w:rPr>
        <w:rFonts w:ascii="Wingdings 3" w:hAnsi="Wingdings 3" w:hint="default"/>
      </w:rPr>
    </w:lvl>
    <w:lvl w:ilvl="3" w:tplc="D27C5478" w:tentative="1">
      <w:start w:val="1"/>
      <w:numFmt w:val="bullet"/>
      <w:lvlText w:val=""/>
      <w:lvlJc w:val="left"/>
      <w:pPr>
        <w:tabs>
          <w:tab w:val="num" w:pos="2880"/>
        </w:tabs>
        <w:ind w:left="2880" w:hanging="360"/>
      </w:pPr>
      <w:rPr>
        <w:rFonts w:ascii="Wingdings 3" w:hAnsi="Wingdings 3" w:hint="default"/>
      </w:rPr>
    </w:lvl>
    <w:lvl w:ilvl="4" w:tplc="11B22AB6" w:tentative="1">
      <w:start w:val="1"/>
      <w:numFmt w:val="bullet"/>
      <w:lvlText w:val=""/>
      <w:lvlJc w:val="left"/>
      <w:pPr>
        <w:tabs>
          <w:tab w:val="num" w:pos="3600"/>
        </w:tabs>
        <w:ind w:left="3600" w:hanging="360"/>
      </w:pPr>
      <w:rPr>
        <w:rFonts w:ascii="Wingdings 3" w:hAnsi="Wingdings 3" w:hint="default"/>
      </w:rPr>
    </w:lvl>
    <w:lvl w:ilvl="5" w:tplc="D6109C8C" w:tentative="1">
      <w:start w:val="1"/>
      <w:numFmt w:val="bullet"/>
      <w:lvlText w:val=""/>
      <w:lvlJc w:val="left"/>
      <w:pPr>
        <w:tabs>
          <w:tab w:val="num" w:pos="4320"/>
        </w:tabs>
        <w:ind w:left="4320" w:hanging="360"/>
      </w:pPr>
      <w:rPr>
        <w:rFonts w:ascii="Wingdings 3" w:hAnsi="Wingdings 3" w:hint="default"/>
      </w:rPr>
    </w:lvl>
    <w:lvl w:ilvl="6" w:tplc="1696EC2C" w:tentative="1">
      <w:start w:val="1"/>
      <w:numFmt w:val="bullet"/>
      <w:lvlText w:val=""/>
      <w:lvlJc w:val="left"/>
      <w:pPr>
        <w:tabs>
          <w:tab w:val="num" w:pos="5040"/>
        </w:tabs>
        <w:ind w:left="5040" w:hanging="360"/>
      </w:pPr>
      <w:rPr>
        <w:rFonts w:ascii="Wingdings 3" w:hAnsi="Wingdings 3" w:hint="default"/>
      </w:rPr>
    </w:lvl>
    <w:lvl w:ilvl="7" w:tplc="ECBEEF54" w:tentative="1">
      <w:start w:val="1"/>
      <w:numFmt w:val="bullet"/>
      <w:lvlText w:val=""/>
      <w:lvlJc w:val="left"/>
      <w:pPr>
        <w:tabs>
          <w:tab w:val="num" w:pos="5760"/>
        </w:tabs>
        <w:ind w:left="5760" w:hanging="360"/>
      </w:pPr>
      <w:rPr>
        <w:rFonts w:ascii="Wingdings 3" w:hAnsi="Wingdings 3" w:hint="default"/>
      </w:rPr>
    </w:lvl>
    <w:lvl w:ilvl="8" w:tplc="143E0D44" w:tentative="1">
      <w:start w:val="1"/>
      <w:numFmt w:val="bullet"/>
      <w:lvlText w:val=""/>
      <w:lvlJc w:val="left"/>
      <w:pPr>
        <w:tabs>
          <w:tab w:val="num" w:pos="6480"/>
        </w:tabs>
        <w:ind w:left="6480" w:hanging="360"/>
      </w:pPr>
      <w:rPr>
        <w:rFonts w:ascii="Wingdings 3" w:hAnsi="Wingdings 3" w:hint="default"/>
      </w:rPr>
    </w:lvl>
  </w:abstractNum>
  <w:abstractNum w:abstractNumId="25">
    <w:nsid w:val="4F6B1419"/>
    <w:multiLevelType w:val="multilevel"/>
    <w:tmpl w:val="4F4C7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5060373B"/>
    <w:multiLevelType w:val="multilevel"/>
    <w:tmpl w:val="08621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2A70493"/>
    <w:multiLevelType w:val="hybridMultilevel"/>
    <w:tmpl w:val="3E02234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5CFF7A85"/>
    <w:multiLevelType w:val="hybridMultilevel"/>
    <w:tmpl w:val="4B6E0B5C"/>
    <w:lvl w:ilvl="0" w:tplc="40090001">
      <w:start w:val="1"/>
      <w:numFmt w:val="bullet"/>
      <w:lvlText w:val=""/>
      <w:lvlJc w:val="left"/>
      <w:pPr>
        <w:tabs>
          <w:tab w:val="num" w:pos="720"/>
        </w:tabs>
        <w:ind w:left="720" w:hanging="360"/>
      </w:pPr>
      <w:rPr>
        <w:rFonts w:ascii="Symbol" w:hAnsi="Symbol" w:hint="default"/>
      </w:rPr>
    </w:lvl>
    <w:lvl w:ilvl="1" w:tplc="5B08DBAE" w:tentative="1">
      <w:start w:val="1"/>
      <w:numFmt w:val="bullet"/>
      <w:lvlText w:val=""/>
      <w:lvlJc w:val="left"/>
      <w:pPr>
        <w:tabs>
          <w:tab w:val="num" w:pos="1440"/>
        </w:tabs>
        <w:ind w:left="1440" w:hanging="360"/>
      </w:pPr>
      <w:rPr>
        <w:rFonts w:ascii="Wingdings 3" w:hAnsi="Wingdings 3" w:hint="default"/>
      </w:rPr>
    </w:lvl>
    <w:lvl w:ilvl="2" w:tplc="61DEDFA8" w:tentative="1">
      <w:start w:val="1"/>
      <w:numFmt w:val="bullet"/>
      <w:lvlText w:val=""/>
      <w:lvlJc w:val="left"/>
      <w:pPr>
        <w:tabs>
          <w:tab w:val="num" w:pos="2160"/>
        </w:tabs>
        <w:ind w:left="2160" w:hanging="360"/>
      </w:pPr>
      <w:rPr>
        <w:rFonts w:ascii="Wingdings 3" w:hAnsi="Wingdings 3" w:hint="default"/>
      </w:rPr>
    </w:lvl>
    <w:lvl w:ilvl="3" w:tplc="B21ED38E" w:tentative="1">
      <w:start w:val="1"/>
      <w:numFmt w:val="bullet"/>
      <w:lvlText w:val=""/>
      <w:lvlJc w:val="left"/>
      <w:pPr>
        <w:tabs>
          <w:tab w:val="num" w:pos="2880"/>
        </w:tabs>
        <w:ind w:left="2880" w:hanging="360"/>
      </w:pPr>
      <w:rPr>
        <w:rFonts w:ascii="Wingdings 3" w:hAnsi="Wingdings 3" w:hint="default"/>
      </w:rPr>
    </w:lvl>
    <w:lvl w:ilvl="4" w:tplc="9E5A78D4" w:tentative="1">
      <w:start w:val="1"/>
      <w:numFmt w:val="bullet"/>
      <w:lvlText w:val=""/>
      <w:lvlJc w:val="left"/>
      <w:pPr>
        <w:tabs>
          <w:tab w:val="num" w:pos="3600"/>
        </w:tabs>
        <w:ind w:left="3600" w:hanging="360"/>
      </w:pPr>
      <w:rPr>
        <w:rFonts w:ascii="Wingdings 3" w:hAnsi="Wingdings 3" w:hint="default"/>
      </w:rPr>
    </w:lvl>
    <w:lvl w:ilvl="5" w:tplc="C52C9CA4" w:tentative="1">
      <w:start w:val="1"/>
      <w:numFmt w:val="bullet"/>
      <w:lvlText w:val=""/>
      <w:lvlJc w:val="left"/>
      <w:pPr>
        <w:tabs>
          <w:tab w:val="num" w:pos="4320"/>
        </w:tabs>
        <w:ind w:left="4320" w:hanging="360"/>
      </w:pPr>
      <w:rPr>
        <w:rFonts w:ascii="Wingdings 3" w:hAnsi="Wingdings 3" w:hint="default"/>
      </w:rPr>
    </w:lvl>
    <w:lvl w:ilvl="6" w:tplc="A7A0447E" w:tentative="1">
      <w:start w:val="1"/>
      <w:numFmt w:val="bullet"/>
      <w:lvlText w:val=""/>
      <w:lvlJc w:val="left"/>
      <w:pPr>
        <w:tabs>
          <w:tab w:val="num" w:pos="5040"/>
        </w:tabs>
        <w:ind w:left="5040" w:hanging="360"/>
      </w:pPr>
      <w:rPr>
        <w:rFonts w:ascii="Wingdings 3" w:hAnsi="Wingdings 3" w:hint="default"/>
      </w:rPr>
    </w:lvl>
    <w:lvl w:ilvl="7" w:tplc="F880E02C" w:tentative="1">
      <w:start w:val="1"/>
      <w:numFmt w:val="bullet"/>
      <w:lvlText w:val=""/>
      <w:lvlJc w:val="left"/>
      <w:pPr>
        <w:tabs>
          <w:tab w:val="num" w:pos="5760"/>
        </w:tabs>
        <w:ind w:left="5760" w:hanging="360"/>
      </w:pPr>
      <w:rPr>
        <w:rFonts w:ascii="Wingdings 3" w:hAnsi="Wingdings 3" w:hint="default"/>
      </w:rPr>
    </w:lvl>
    <w:lvl w:ilvl="8" w:tplc="BCFA4C6A" w:tentative="1">
      <w:start w:val="1"/>
      <w:numFmt w:val="bullet"/>
      <w:lvlText w:val=""/>
      <w:lvlJc w:val="left"/>
      <w:pPr>
        <w:tabs>
          <w:tab w:val="num" w:pos="6480"/>
        </w:tabs>
        <w:ind w:left="6480" w:hanging="360"/>
      </w:pPr>
      <w:rPr>
        <w:rFonts w:ascii="Wingdings 3" w:hAnsi="Wingdings 3" w:hint="default"/>
      </w:rPr>
    </w:lvl>
  </w:abstractNum>
  <w:abstractNum w:abstractNumId="29">
    <w:nsid w:val="619672D3"/>
    <w:multiLevelType w:val="multilevel"/>
    <w:tmpl w:val="8F96D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4C807B6"/>
    <w:multiLevelType w:val="hybridMultilevel"/>
    <w:tmpl w:val="193C61B2"/>
    <w:lvl w:ilvl="0" w:tplc="7324CFBC">
      <w:start w:val="1"/>
      <w:numFmt w:val="bullet"/>
      <w:lvlText w:val=""/>
      <w:lvlJc w:val="left"/>
      <w:pPr>
        <w:tabs>
          <w:tab w:val="num" w:pos="720"/>
        </w:tabs>
        <w:ind w:left="720" w:hanging="360"/>
      </w:pPr>
      <w:rPr>
        <w:rFonts w:ascii="Wingdings 3" w:hAnsi="Wingdings 3" w:hint="default"/>
      </w:rPr>
    </w:lvl>
    <w:lvl w:ilvl="1" w:tplc="DE609282" w:tentative="1">
      <w:start w:val="1"/>
      <w:numFmt w:val="bullet"/>
      <w:lvlText w:val=""/>
      <w:lvlJc w:val="left"/>
      <w:pPr>
        <w:tabs>
          <w:tab w:val="num" w:pos="1440"/>
        </w:tabs>
        <w:ind w:left="1440" w:hanging="360"/>
      </w:pPr>
      <w:rPr>
        <w:rFonts w:ascii="Wingdings 3" w:hAnsi="Wingdings 3" w:hint="default"/>
      </w:rPr>
    </w:lvl>
    <w:lvl w:ilvl="2" w:tplc="E8500220" w:tentative="1">
      <w:start w:val="1"/>
      <w:numFmt w:val="bullet"/>
      <w:lvlText w:val=""/>
      <w:lvlJc w:val="left"/>
      <w:pPr>
        <w:tabs>
          <w:tab w:val="num" w:pos="2160"/>
        </w:tabs>
        <w:ind w:left="2160" w:hanging="360"/>
      </w:pPr>
      <w:rPr>
        <w:rFonts w:ascii="Wingdings 3" w:hAnsi="Wingdings 3" w:hint="default"/>
      </w:rPr>
    </w:lvl>
    <w:lvl w:ilvl="3" w:tplc="D26ABB84" w:tentative="1">
      <w:start w:val="1"/>
      <w:numFmt w:val="bullet"/>
      <w:lvlText w:val=""/>
      <w:lvlJc w:val="left"/>
      <w:pPr>
        <w:tabs>
          <w:tab w:val="num" w:pos="2880"/>
        </w:tabs>
        <w:ind w:left="2880" w:hanging="360"/>
      </w:pPr>
      <w:rPr>
        <w:rFonts w:ascii="Wingdings 3" w:hAnsi="Wingdings 3" w:hint="default"/>
      </w:rPr>
    </w:lvl>
    <w:lvl w:ilvl="4" w:tplc="2C260D12" w:tentative="1">
      <w:start w:val="1"/>
      <w:numFmt w:val="bullet"/>
      <w:lvlText w:val=""/>
      <w:lvlJc w:val="left"/>
      <w:pPr>
        <w:tabs>
          <w:tab w:val="num" w:pos="3600"/>
        </w:tabs>
        <w:ind w:left="3600" w:hanging="360"/>
      </w:pPr>
      <w:rPr>
        <w:rFonts w:ascii="Wingdings 3" w:hAnsi="Wingdings 3" w:hint="default"/>
      </w:rPr>
    </w:lvl>
    <w:lvl w:ilvl="5" w:tplc="D55001F4" w:tentative="1">
      <w:start w:val="1"/>
      <w:numFmt w:val="bullet"/>
      <w:lvlText w:val=""/>
      <w:lvlJc w:val="left"/>
      <w:pPr>
        <w:tabs>
          <w:tab w:val="num" w:pos="4320"/>
        </w:tabs>
        <w:ind w:left="4320" w:hanging="360"/>
      </w:pPr>
      <w:rPr>
        <w:rFonts w:ascii="Wingdings 3" w:hAnsi="Wingdings 3" w:hint="default"/>
      </w:rPr>
    </w:lvl>
    <w:lvl w:ilvl="6" w:tplc="399C8224" w:tentative="1">
      <w:start w:val="1"/>
      <w:numFmt w:val="bullet"/>
      <w:lvlText w:val=""/>
      <w:lvlJc w:val="left"/>
      <w:pPr>
        <w:tabs>
          <w:tab w:val="num" w:pos="5040"/>
        </w:tabs>
        <w:ind w:left="5040" w:hanging="360"/>
      </w:pPr>
      <w:rPr>
        <w:rFonts w:ascii="Wingdings 3" w:hAnsi="Wingdings 3" w:hint="default"/>
      </w:rPr>
    </w:lvl>
    <w:lvl w:ilvl="7" w:tplc="1E5C107E" w:tentative="1">
      <w:start w:val="1"/>
      <w:numFmt w:val="bullet"/>
      <w:lvlText w:val=""/>
      <w:lvlJc w:val="left"/>
      <w:pPr>
        <w:tabs>
          <w:tab w:val="num" w:pos="5760"/>
        </w:tabs>
        <w:ind w:left="5760" w:hanging="360"/>
      </w:pPr>
      <w:rPr>
        <w:rFonts w:ascii="Wingdings 3" w:hAnsi="Wingdings 3" w:hint="default"/>
      </w:rPr>
    </w:lvl>
    <w:lvl w:ilvl="8" w:tplc="2FA2E81E" w:tentative="1">
      <w:start w:val="1"/>
      <w:numFmt w:val="bullet"/>
      <w:lvlText w:val=""/>
      <w:lvlJc w:val="left"/>
      <w:pPr>
        <w:tabs>
          <w:tab w:val="num" w:pos="6480"/>
        </w:tabs>
        <w:ind w:left="6480" w:hanging="360"/>
      </w:pPr>
      <w:rPr>
        <w:rFonts w:ascii="Wingdings 3" w:hAnsi="Wingdings 3" w:hint="default"/>
      </w:rPr>
    </w:lvl>
  </w:abstractNum>
  <w:abstractNum w:abstractNumId="31">
    <w:nsid w:val="66B1563F"/>
    <w:multiLevelType w:val="hybridMultilevel"/>
    <w:tmpl w:val="FAF67034"/>
    <w:lvl w:ilvl="0" w:tplc="F2DCAA48">
      <w:start w:val="1"/>
      <w:numFmt w:val="bullet"/>
      <w:lvlText w:val=""/>
      <w:lvlJc w:val="left"/>
      <w:pPr>
        <w:tabs>
          <w:tab w:val="num" w:pos="720"/>
        </w:tabs>
        <w:ind w:left="720" w:hanging="360"/>
      </w:pPr>
      <w:rPr>
        <w:rFonts w:ascii="Wingdings 3" w:hAnsi="Wingdings 3" w:hint="default"/>
      </w:rPr>
    </w:lvl>
    <w:lvl w:ilvl="1" w:tplc="0B9CCDC6" w:tentative="1">
      <w:start w:val="1"/>
      <w:numFmt w:val="bullet"/>
      <w:lvlText w:val=""/>
      <w:lvlJc w:val="left"/>
      <w:pPr>
        <w:tabs>
          <w:tab w:val="num" w:pos="1440"/>
        </w:tabs>
        <w:ind w:left="1440" w:hanging="360"/>
      </w:pPr>
      <w:rPr>
        <w:rFonts w:ascii="Wingdings 3" w:hAnsi="Wingdings 3" w:hint="default"/>
      </w:rPr>
    </w:lvl>
    <w:lvl w:ilvl="2" w:tplc="A670C812" w:tentative="1">
      <w:start w:val="1"/>
      <w:numFmt w:val="bullet"/>
      <w:lvlText w:val=""/>
      <w:lvlJc w:val="left"/>
      <w:pPr>
        <w:tabs>
          <w:tab w:val="num" w:pos="2160"/>
        </w:tabs>
        <w:ind w:left="2160" w:hanging="360"/>
      </w:pPr>
      <w:rPr>
        <w:rFonts w:ascii="Wingdings 3" w:hAnsi="Wingdings 3" w:hint="default"/>
      </w:rPr>
    </w:lvl>
    <w:lvl w:ilvl="3" w:tplc="F30A750A" w:tentative="1">
      <w:start w:val="1"/>
      <w:numFmt w:val="bullet"/>
      <w:lvlText w:val=""/>
      <w:lvlJc w:val="left"/>
      <w:pPr>
        <w:tabs>
          <w:tab w:val="num" w:pos="2880"/>
        </w:tabs>
        <w:ind w:left="2880" w:hanging="360"/>
      </w:pPr>
      <w:rPr>
        <w:rFonts w:ascii="Wingdings 3" w:hAnsi="Wingdings 3" w:hint="default"/>
      </w:rPr>
    </w:lvl>
    <w:lvl w:ilvl="4" w:tplc="5CBE7D6E" w:tentative="1">
      <w:start w:val="1"/>
      <w:numFmt w:val="bullet"/>
      <w:lvlText w:val=""/>
      <w:lvlJc w:val="left"/>
      <w:pPr>
        <w:tabs>
          <w:tab w:val="num" w:pos="3600"/>
        </w:tabs>
        <w:ind w:left="3600" w:hanging="360"/>
      </w:pPr>
      <w:rPr>
        <w:rFonts w:ascii="Wingdings 3" w:hAnsi="Wingdings 3" w:hint="default"/>
      </w:rPr>
    </w:lvl>
    <w:lvl w:ilvl="5" w:tplc="89167256" w:tentative="1">
      <w:start w:val="1"/>
      <w:numFmt w:val="bullet"/>
      <w:lvlText w:val=""/>
      <w:lvlJc w:val="left"/>
      <w:pPr>
        <w:tabs>
          <w:tab w:val="num" w:pos="4320"/>
        </w:tabs>
        <w:ind w:left="4320" w:hanging="360"/>
      </w:pPr>
      <w:rPr>
        <w:rFonts w:ascii="Wingdings 3" w:hAnsi="Wingdings 3" w:hint="default"/>
      </w:rPr>
    </w:lvl>
    <w:lvl w:ilvl="6" w:tplc="DF3EF97C" w:tentative="1">
      <w:start w:val="1"/>
      <w:numFmt w:val="bullet"/>
      <w:lvlText w:val=""/>
      <w:lvlJc w:val="left"/>
      <w:pPr>
        <w:tabs>
          <w:tab w:val="num" w:pos="5040"/>
        </w:tabs>
        <w:ind w:left="5040" w:hanging="360"/>
      </w:pPr>
      <w:rPr>
        <w:rFonts w:ascii="Wingdings 3" w:hAnsi="Wingdings 3" w:hint="default"/>
      </w:rPr>
    </w:lvl>
    <w:lvl w:ilvl="7" w:tplc="B93E3420" w:tentative="1">
      <w:start w:val="1"/>
      <w:numFmt w:val="bullet"/>
      <w:lvlText w:val=""/>
      <w:lvlJc w:val="left"/>
      <w:pPr>
        <w:tabs>
          <w:tab w:val="num" w:pos="5760"/>
        </w:tabs>
        <w:ind w:left="5760" w:hanging="360"/>
      </w:pPr>
      <w:rPr>
        <w:rFonts w:ascii="Wingdings 3" w:hAnsi="Wingdings 3" w:hint="default"/>
      </w:rPr>
    </w:lvl>
    <w:lvl w:ilvl="8" w:tplc="262CB6B2" w:tentative="1">
      <w:start w:val="1"/>
      <w:numFmt w:val="bullet"/>
      <w:lvlText w:val=""/>
      <w:lvlJc w:val="left"/>
      <w:pPr>
        <w:tabs>
          <w:tab w:val="num" w:pos="6480"/>
        </w:tabs>
        <w:ind w:left="6480" w:hanging="360"/>
      </w:pPr>
      <w:rPr>
        <w:rFonts w:ascii="Wingdings 3" w:hAnsi="Wingdings 3" w:hint="default"/>
      </w:rPr>
    </w:lvl>
  </w:abstractNum>
  <w:abstractNum w:abstractNumId="32">
    <w:nsid w:val="68486CDB"/>
    <w:multiLevelType w:val="hybridMultilevel"/>
    <w:tmpl w:val="C5DE4E9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68C40753"/>
    <w:multiLevelType w:val="hybridMultilevel"/>
    <w:tmpl w:val="726E4B1E"/>
    <w:lvl w:ilvl="0" w:tplc="50B004A0">
      <w:start w:val="1"/>
      <w:numFmt w:val="bullet"/>
      <w:lvlText w:val=""/>
      <w:lvlJc w:val="left"/>
      <w:pPr>
        <w:tabs>
          <w:tab w:val="num" w:pos="720"/>
        </w:tabs>
        <w:ind w:left="720" w:hanging="360"/>
      </w:pPr>
      <w:rPr>
        <w:rFonts w:ascii="Wingdings 3" w:hAnsi="Wingdings 3" w:hint="default"/>
      </w:rPr>
    </w:lvl>
    <w:lvl w:ilvl="1" w:tplc="DFCC532E" w:tentative="1">
      <w:start w:val="1"/>
      <w:numFmt w:val="bullet"/>
      <w:lvlText w:val=""/>
      <w:lvlJc w:val="left"/>
      <w:pPr>
        <w:tabs>
          <w:tab w:val="num" w:pos="1440"/>
        </w:tabs>
        <w:ind w:left="1440" w:hanging="360"/>
      </w:pPr>
      <w:rPr>
        <w:rFonts w:ascii="Wingdings 3" w:hAnsi="Wingdings 3" w:hint="default"/>
      </w:rPr>
    </w:lvl>
    <w:lvl w:ilvl="2" w:tplc="956AAAC0" w:tentative="1">
      <w:start w:val="1"/>
      <w:numFmt w:val="bullet"/>
      <w:lvlText w:val=""/>
      <w:lvlJc w:val="left"/>
      <w:pPr>
        <w:tabs>
          <w:tab w:val="num" w:pos="2160"/>
        </w:tabs>
        <w:ind w:left="2160" w:hanging="360"/>
      </w:pPr>
      <w:rPr>
        <w:rFonts w:ascii="Wingdings 3" w:hAnsi="Wingdings 3" w:hint="default"/>
      </w:rPr>
    </w:lvl>
    <w:lvl w:ilvl="3" w:tplc="F2EAB1FC" w:tentative="1">
      <w:start w:val="1"/>
      <w:numFmt w:val="bullet"/>
      <w:lvlText w:val=""/>
      <w:lvlJc w:val="left"/>
      <w:pPr>
        <w:tabs>
          <w:tab w:val="num" w:pos="2880"/>
        </w:tabs>
        <w:ind w:left="2880" w:hanging="360"/>
      </w:pPr>
      <w:rPr>
        <w:rFonts w:ascii="Wingdings 3" w:hAnsi="Wingdings 3" w:hint="default"/>
      </w:rPr>
    </w:lvl>
    <w:lvl w:ilvl="4" w:tplc="93A21C84" w:tentative="1">
      <w:start w:val="1"/>
      <w:numFmt w:val="bullet"/>
      <w:lvlText w:val=""/>
      <w:lvlJc w:val="left"/>
      <w:pPr>
        <w:tabs>
          <w:tab w:val="num" w:pos="3600"/>
        </w:tabs>
        <w:ind w:left="3600" w:hanging="360"/>
      </w:pPr>
      <w:rPr>
        <w:rFonts w:ascii="Wingdings 3" w:hAnsi="Wingdings 3" w:hint="default"/>
      </w:rPr>
    </w:lvl>
    <w:lvl w:ilvl="5" w:tplc="4768B360" w:tentative="1">
      <w:start w:val="1"/>
      <w:numFmt w:val="bullet"/>
      <w:lvlText w:val=""/>
      <w:lvlJc w:val="left"/>
      <w:pPr>
        <w:tabs>
          <w:tab w:val="num" w:pos="4320"/>
        </w:tabs>
        <w:ind w:left="4320" w:hanging="360"/>
      </w:pPr>
      <w:rPr>
        <w:rFonts w:ascii="Wingdings 3" w:hAnsi="Wingdings 3" w:hint="default"/>
      </w:rPr>
    </w:lvl>
    <w:lvl w:ilvl="6" w:tplc="F8C40FEC" w:tentative="1">
      <w:start w:val="1"/>
      <w:numFmt w:val="bullet"/>
      <w:lvlText w:val=""/>
      <w:lvlJc w:val="left"/>
      <w:pPr>
        <w:tabs>
          <w:tab w:val="num" w:pos="5040"/>
        </w:tabs>
        <w:ind w:left="5040" w:hanging="360"/>
      </w:pPr>
      <w:rPr>
        <w:rFonts w:ascii="Wingdings 3" w:hAnsi="Wingdings 3" w:hint="default"/>
      </w:rPr>
    </w:lvl>
    <w:lvl w:ilvl="7" w:tplc="504CEAAE" w:tentative="1">
      <w:start w:val="1"/>
      <w:numFmt w:val="bullet"/>
      <w:lvlText w:val=""/>
      <w:lvlJc w:val="left"/>
      <w:pPr>
        <w:tabs>
          <w:tab w:val="num" w:pos="5760"/>
        </w:tabs>
        <w:ind w:left="5760" w:hanging="360"/>
      </w:pPr>
      <w:rPr>
        <w:rFonts w:ascii="Wingdings 3" w:hAnsi="Wingdings 3" w:hint="default"/>
      </w:rPr>
    </w:lvl>
    <w:lvl w:ilvl="8" w:tplc="C76282C4" w:tentative="1">
      <w:start w:val="1"/>
      <w:numFmt w:val="bullet"/>
      <w:lvlText w:val=""/>
      <w:lvlJc w:val="left"/>
      <w:pPr>
        <w:tabs>
          <w:tab w:val="num" w:pos="6480"/>
        </w:tabs>
        <w:ind w:left="6480" w:hanging="360"/>
      </w:pPr>
      <w:rPr>
        <w:rFonts w:ascii="Wingdings 3" w:hAnsi="Wingdings 3" w:hint="default"/>
      </w:rPr>
    </w:lvl>
  </w:abstractNum>
  <w:abstractNum w:abstractNumId="34">
    <w:nsid w:val="6C92779F"/>
    <w:multiLevelType w:val="hybridMultilevel"/>
    <w:tmpl w:val="AA5C13EE"/>
    <w:lvl w:ilvl="0" w:tplc="DB749016">
      <w:start w:val="1"/>
      <w:numFmt w:val="bullet"/>
      <w:lvlText w:val=""/>
      <w:lvlJc w:val="left"/>
      <w:pPr>
        <w:tabs>
          <w:tab w:val="num" w:pos="720"/>
        </w:tabs>
        <w:ind w:left="720" w:hanging="360"/>
      </w:pPr>
      <w:rPr>
        <w:rFonts w:ascii="Wingdings 3" w:hAnsi="Wingdings 3" w:hint="default"/>
      </w:rPr>
    </w:lvl>
    <w:lvl w:ilvl="1" w:tplc="44CCC338" w:tentative="1">
      <w:start w:val="1"/>
      <w:numFmt w:val="bullet"/>
      <w:lvlText w:val=""/>
      <w:lvlJc w:val="left"/>
      <w:pPr>
        <w:tabs>
          <w:tab w:val="num" w:pos="1440"/>
        </w:tabs>
        <w:ind w:left="1440" w:hanging="360"/>
      </w:pPr>
      <w:rPr>
        <w:rFonts w:ascii="Wingdings 3" w:hAnsi="Wingdings 3" w:hint="default"/>
      </w:rPr>
    </w:lvl>
    <w:lvl w:ilvl="2" w:tplc="CDACB628" w:tentative="1">
      <w:start w:val="1"/>
      <w:numFmt w:val="bullet"/>
      <w:lvlText w:val=""/>
      <w:lvlJc w:val="left"/>
      <w:pPr>
        <w:tabs>
          <w:tab w:val="num" w:pos="2160"/>
        </w:tabs>
        <w:ind w:left="2160" w:hanging="360"/>
      </w:pPr>
      <w:rPr>
        <w:rFonts w:ascii="Wingdings 3" w:hAnsi="Wingdings 3" w:hint="default"/>
      </w:rPr>
    </w:lvl>
    <w:lvl w:ilvl="3" w:tplc="8EE46C60" w:tentative="1">
      <w:start w:val="1"/>
      <w:numFmt w:val="bullet"/>
      <w:lvlText w:val=""/>
      <w:lvlJc w:val="left"/>
      <w:pPr>
        <w:tabs>
          <w:tab w:val="num" w:pos="2880"/>
        </w:tabs>
        <w:ind w:left="2880" w:hanging="360"/>
      </w:pPr>
      <w:rPr>
        <w:rFonts w:ascii="Wingdings 3" w:hAnsi="Wingdings 3" w:hint="default"/>
      </w:rPr>
    </w:lvl>
    <w:lvl w:ilvl="4" w:tplc="2AD2FD5C" w:tentative="1">
      <w:start w:val="1"/>
      <w:numFmt w:val="bullet"/>
      <w:lvlText w:val=""/>
      <w:lvlJc w:val="left"/>
      <w:pPr>
        <w:tabs>
          <w:tab w:val="num" w:pos="3600"/>
        </w:tabs>
        <w:ind w:left="3600" w:hanging="360"/>
      </w:pPr>
      <w:rPr>
        <w:rFonts w:ascii="Wingdings 3" w:hAnsi="Wingdings 3" w:hint="default"/>
      </w:rPr>
    </w:lvl>
    <w:lvl w:ilvl="5" w:tplc="621410AA" w:tentative="1">
      <w:start w:val="1"/>
      <w:numFmt w:val="bullet"/>
      <w:lvlText w:val=""/>
      <w:lvlJc w:val="left"/>
      <w:pPr>
        <w:tabs>
          <w:tab w:val="num" w:pos="4320"/>
        </w:tabs>
        <w:ind w:left="4320" w:hanging="360"/>
      </w:pPr>
      <w:rPr>
        <w:rFonts w:ascii="Wingdings 3" w:hAnsi="Wingdings 3" w:hint="default"/>
      </w:rPr>
    </w:lvl>
    <w:lvl w:ilvl="6" w:tplc="B06CC0DA" w:tentative="1">
      <w:start w:val="1"/>
      <w:numFmt w:val="bullet"/>
      <w:lvlText w:val=""/>
      <w:lvlJc w:val="left"/>
      <w:pPr>
        <w:tabs>
          <w:tab w:val="num" w:pos="5040"/>
        </w:tabs>
        <w:ind w:left="5040" w:hanging="360"/>
      </w:pPr>
      <w:rPr>
        <w:rFonts w:ascii="Wingdings 3" w:hAnsi="Wingdings 3" w:hint="default"/>
      </w:rPr>
    </w:lvl>
    <w:lvl w:ilvl="7" w:tplc="DD4EAB5A" w:tentative="1">
      <w:start w:val="1"/>
      <w:numFmt w:val="bullet"/>
      <w:lvlText w:val=""/>
      <w:lvlJc w:val="left"/>
      <w:pPr>
        <w:tabs>
          <w:tab w:val="num" w:pos="5760"/>
        </w:tabs>
        <w:ind w:left="5760" w:hanging="360"/>
      </w:pPr>
      <w:rPr>
        <w:rFonts w:ascii="Wingdings 3" w:hAnsi="Wingdings 3" w:hint="default"/>
      </w:rPr>
    </w:lvl>
    <w:lvl w:ilvl="8" w:tplc="4B06B188" w:tentative="1">
      <w:start w:val="1"/>
      <w:numFmt w:val="bullet"/>
      <w:lvlText w:val=""/>
      <w:lvlJc w:val="left"/>
      <w:pPr>
        <w:tabs>
          <w:tab w:val="num" w:pos="6480"/>
        </w:tabs>
        <w:ind w:left="6480" w:hanging="360"/>
      </w:pPr>
      <w:rPr>
        <w:rFonts w:ascii="Wingdings 3" w:hAnsi="Wingdings 3" w:hint="default"/>
      </w:rPr>
    </w:lvl>
  </w:abstractNum>
  <w:abstractNum w:abstractNumId="35">
    <w:nsid w:val="6FC11172"/>
    <w:multiLevelType w:val="multilevel"/>
    <w:tmpl w:val="F5BA63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1DA0E6E"/>
    <w:multiLevelType w:val="multilevel"/>
    <w:tmpl w:val="64465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70E221F"/>
    <w:multiLevelType w:val="multilevel"/>
    <w:tmpl w:val="4E046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9E51F93"/>
    <w:multiLevelType w:val="multilevel"/>
    <w:tmpl w:val="F8FA2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7EDC0EE7"/>
    <w:multiLevelType w:val="multilevel"/>
    <w:tmpl w:val="C4E62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21"/>
  </w:num>
  <w:num w:numId="3">
    <w:abstractNumId w:val="13"/>
  </w:num>
  <w:num w:numId="4">
    <w:abstractNumId w:val="8"/>
  </w:num>
  <w:num w:numId="5">
    <w:abstractNumId w:val="9"/>
  </w:num>
  <w:num w:numId="6">
    <w:abstractNumId w:val="35"/>
  </w:num>
  <w:num w:numId="7">
    <w:abstractNumId w:val="39"/>
  </w:num>
  <w:num w:numId="8">
    <w:abstractNumId w:val="26"/>
  </w:num>
  <w:num w:numId="9">
    <w:abstractNumId w:val="11"/>
  </w:num>
  <w:num w:numId="10">
    <w:abstractNumId w:val="4"/>
  </w:num>
  <w:num w:numId="11">
    <w:abstractNumId w:val="7"/>
  </w:num>
  <w:num w:numId="12">
    <w:abstractNumId w:val="36"/>
  </w:num>
  <w:num w:numId="13">
    <w:abstractNumId w:val="25"/>
  </w:num>
  <w:num w:numId="14">
    <w:abstractNumId w:val="17"/>
  </w:num>
  <w:num w:numId="15">
    <w:abstractNumId w:val="38"/>
  </w:num>
  <w:num w:numId="16">
    <w:abstractNumId w:val="23"/>
  </w:num>
  <w:num w:numId="17">
    <w:abstractNumId w:val="20"/>
  </w:num>
  <w:num w:numId="18">
    <w:abstractNumId w:val="29"/>
  </w:num>
  <w:num w:numId="19">
    <w:abstractNumId w:val="12"/>
  </w:num>
  <w:num w:numId="20">
    <w:abstractNumId w:val="31"/>
  </w:num>
  <w:num w:numId="21">
    <w:abstractNumId w:val="34"/>
  </w:num>
  <w:num w:numId="22">
    <w:abstractNumId w:val="15"/>
  </w:num>
  <w:num w:numId="23">
    <w:abstractNumId w:val="0"/>
  </w:num>
  <w:num w:numId="24">
    <w:abstractNumId w:val="14"/>
  </w:num>
  <w:num w:numId="25">
    <w:abstractNumId w:val="16"/>
  </w:num>
  <w:num w:numId="26">
    <w:abstractNumId w:val="1"/>
  </w:num>
  <w:num w:numId="27">
    <w:abstractNumId w:val="6"/>
  </w:num>
  <w:num w:numId="28">
    <w:abstractNumId w:val="30"/>
  </w:num>
  <w:num w:numId="29">
    <w:abstractNumId w:val="3"/>
  </w:num>
  <w:num w:numId="30">
    <w:abstractNumId w:val="2"/>
  </w:num>
  <w:num w:numId="31">
    <w:abstractNumId w:val="22"/>
  </w:num>
  <w:num w:numId="32">
    <w:abstractNumId w:val="27"/>
  </w:num>
  <w:num w:numId="33">
    <w:abstractNumId w:val="32"/>
  </w:num>
  <w:num w:numId="34">
    <w:abstractNumId w:val="33"/>
  </w:num>
  <w:num w:numId="35">
    <w:abstractNumId w:val="24"/>
  </w:num>
  <w:num w:numId="36">
    <w:abstractNumId w:val="18"/>
  </w:num>
  <w:num w:numId="37">
    <w:abstractNumId w:val="5"/>
  </w:num>
  <w:num w:numId="38">
    <w:abstractNumId w:val="10"/>
  </w:num>
  <w:num w:numId="39">
    <w:abstractNumId w:val="19"/>
  </w:num>
  <w:num w:numId="4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0F7"/>
    <w:rsid w:val="0002713C"/>
    <w:rsid w:val="002F459A"/>
    <w:rsid w:val="003C47E2"/>
    <w:rsid w:val="00403754"/>
    <w:rsid w:val="004418DA"/>
    <w:rsid w:val="004779C0"/>
    <w:rsid w:val="00524583"/>
    <w:rsid w:val="005A1E2F"/>
    <w:rsid w:val="005A4B5A"/>
    <w:rsid w:val="00626BB0"/>
    <w:rsid w:val="006B1CD9"/>
    <w:rsid w:val="006D7731"/>
    <w:rsid w:val="008830F7"/>
    <w:rsid w:val="009C40FC"/>
    <w:rsid w:val="009C470E"/>
    <w:rsid w:val="009D4869"/>
    <w:rsid w:val="00A66B77"/>
    <w:rsid w:val="00A934B2"/>
    <w:rsid w:val="00AB2D69"/>
    <w:rsid w:val="00C21A61"/>
    <w:rsid w:val="00C442C7"/>
    <w:rsid w:val="00EE0161"/>
    <w:rsid w:val="00F97DF7"/>
    <w:rsid w:val="00FD5AE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E6213E-864D-44E6-9C40-68C356569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97DF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FD5AE4"/>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semiHidden/>
    <w:unhideWhenUsed/>
    <w:qFormat/>
    <w:rsid w:val="00FD5A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2458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D5AE4"/>
    <w:rPr>
      <w:rFonts w:ascii="Times New Roman" w:eastAsia="Times New Roman" w:hAnsi="Times New Roman" w:cs="Times New Roman"/>
      <w:b/>
      <w:bCs/>
      <w:sz w:val="36"/>
      <w:szCs w:val="36"/>
      <w:lang w:eastAsia="en-IN"/>
    </w:rPr>
  </w:style>
  <w:style w:type="paragraph" w:styleId="NormalWeb">
    <w:name w:val="Normal (Web)"/>
    <w:basedOn w:val="Normal"/>
    <w:uiPriority w:val="99"/>
    <w:semiHidden/>
    <w:unhideWhenUsed/>
    <w:rsid w:val="00FD5AE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3Char">
    <w:name w:val="Heading 3 Char"/>
    <w:basedOn w:val="DefaultParagraphFont"/>
    <w:link w:val="Heading3"/>
    <w:uiPriority w:val="9"/>
    <w:semiHidden/>
    <w:rsid w:val="00FD5AE4"/>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FD5AE4"/>
    <w:rPr>
      <w:b/>
      <w:bCs/>
    </w:rPr>
  </w:style>
  <w:style w:type="paragraph" w:styleId="ListParagraph">
    <w:name w:val="List Paragraph"/>
    <w:basedOn w:val="Normal"/>
    <w:uiPriority w:val="34"/>
    <w:qFormat/>
    <w:rsid w:val="005A1E2F"/>
    <w:pPr>
      <w:ind w:left="720"/>
      <w:contextualSpacing/>
    </w:pPr>
  </w:style>
  <w:style w:type="character" w:styleId="Hyperlink">
    <w:name w:val="Hyperlink"/>
    <w:basedOn w:val="DefaultParagraphFont"/>
    <w:uiPriority w:val="99"/>
    <w:unhideWhenUsed/>
    <w:rsid w:val="0002713C"/>
    <w:rPr>
      <w:color w:val="0000FF"/>
      <w:u w:val="single"/>
    </w:rPr>
  </w:style>
  <w:style w:type="paragraph" w:customStyle="1" w:styleId="comp">
    <w:name w:val="comp"/>
    <w:basedOn w:val="Normal"/>
    <w:rsid w:val="00A934B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sc-block-headingtext">
    <w:name w:val="mntl-sc-block-heading__text"/>
    <w:basedOn w:val="DefaultParagraphFont"/>
    <w:rsid w:val="00A934B2"/>
  </w:style>
  <w:style w:type="character" w:customStyle="1" w:styleId="mntl-inline-citation">
    <w:name w:val="mntl-inline-citation"/>
    <w:basedOn w:val="DefaultParagraphFont"/>
    <w:rsid w:val="00A934B2"/>
  </w:style>
  <w:style w:type="character" w:customStyle="1" w:styleId="Heading1Char">
    <w:name w:val="Heading 1 Char"/>
    <w:basedOn w:val="DefaultParagraphFont"/>
    <w:link w:val="Heading1"/>
    <w:uiPriority w:val="9"/>
    <w:rsid w:val="00F97DF7"/>
    <w:rPr>
      <w:rFonts w:asciiTheme="majorHAnsi" w:eastAsiaTheme="majorEastAsia" w:hAnsiTheme="majorHAnsi" w:cstheme="majorBidi"/>
      <w:color w:val="2E74B5" w:themeColor="accent1" w:themeShade="BF"/>
      <w:sz w:val="32"/>
      <w:szCs w:val="32"/>
    </w:rPr>
  </w:style>
  <w:style w:type="character" w:customStyle="1" w:styleId="Heading4Char">
    <w:name w:val="Heading 4 Char"/>
    <w:basedOn w:val="DefaultParagraphFont"/>
    <w:link w:val="Heading4"/>
    <w:uiPriority w:val="9"/>
    <w:semiHidden/>
    <w:rsid w:val="00524583"/>
    <w:rPr>
      <w:rFonts w:asciiTheme="majorHAnsi" w:eastAsiaTheme="majorEastAsia" w:hAnsiTheme="majorHAnsi" w:cstheme="majorBidi"/>
      <w:i/>
      <w:iCs/>
      <w:color w:val="2E74B5" w:themeColor="accent1" w:themeShade="BF"/>
    </w:rPr>
  </w:style>
  <w:style w:type="character" w:customStyle="1" w:styleId="author-img-name">
    <w:name w:val="author-img-name"/>
    <w:basedOn w:val="DefaultParagraphFont"/>
    <w:rsid w:val="004418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2540">
      <w:bodyDiv w:val="1"/>
      <w:marLeft w:val="0"/>
      <w:marRight w:val="0"/>
      <w:marTop w:val="0"/>
      <w:marBottom w:val="0"/>
      <w:divBdr>
        <w:top w:val="none" w:sz="0" w:space="0" w:color="auto"/>
        <w:left w:val="none" w:sz="0" w:space="0" w:color="auto"/>
        <w:bottom w:val="none" w:sz="0" w:space="0" w:color="auto"/>
        <w:right w:val="none" w:sz="0" w:space="0" w:color="auto"/>
      </w:divBdr>
    </w:div>
    <w:div w:id="23992109">
      <w:bodyDiv w:val="1"/>
      <w:marLeft w:val="0"/>
      <w:marRight w:val="0"/>
      <w:marTop w:val="0"/>
      <w:marBottom w:val="0"/>
      <w:divBdr>
        <w:top w:val="none" w:sz="0" w:space="0" w:color="auto"/>
        <w:left w:val="none" w:sz="0" w:space="0" w:color="auto"/>
        <w:bottom w:val="none" w:sz="0" w:space="0" w:color="auto"/>
        <w:right w:val="none" w:sz="0" w:space="0" w:color="auto"/>
      </w:divBdr>
    </w:div>
    <w:div w:id="25525440">
      <w:bodyDiv w:val="1"/>
      <w:marLeft w:val="0"/>
      <w:marRight w:val="0"/>
      <w:marTop w:val="0"/>
      <w:marBottom w:val="0"/>
      <w:divBdr>
        <w:top w:val="none" w:sz="0" w:space="0" w:color="auto"/>
        <w:left w:val="none" w:sz="0" w:space="0" w:color="auto"/>
        <w:bottom w:val="none" w:sz="0" w:space="0" w:color="auto"/>
        <w:right w:val="none" w:sz="0" w:space="0" w:color="auto"/>
      </w:divBdr>
      <w:divsChild>
        <w:div w:id="1867402636">
          <w:marLeft w:val="0"/>
          <w:marRight w:val="0"/>
          <w:marTop w:val="0"/>
          <w:marBottom w:val="0"/>
          <w:divBdr>
            <w:top w:val="none" w:sz="0" w:space="0" w:color="auto"/>
            <w:left w:val="none" w:sz="0" w:space="0" w:color="auto"/>
            <w:bottom w:val="none" w:sz="0" w:space="0" w:color="auto"/>
            <w:right w:val="none" w:sz="0" w:space="0" w:color="auto"/>
          </w:divBdr>
        </w:div>
        <w:div w:id="1690987364">
          <w:marLeft w:val="0"/>
          <w:marRight w:val="0"/>
          <w:marTop w:val="0"/>
          <w:marBottom w:val="0"/>
          <w:divBdr>
            <w:top w:val="none" w:sz="0" w:space="0" w:color="auto"/>
            <w:left w:val="none" w:sz="0" w:space="0" w:color="auto"/>
            <w:bottom w:val="none" w:sz="0" w:space="0" w:color="auto"/>
            <w:right w:val="none" w:sz="0" w:space="0" w:color="auto"/>
          </w:divBdr>
          <w:divsChild>
            <w:div w:id="985087451">
              <w:marLeft w:val="15"/>
              <w:marRight w:val="15"/>
              <w:marTop w:val="0"/>
              <w:marBottom w:val="15"/>
              <w:divBdr>
                <w:top w:val="none" w:sz="0" w:space="0" w:color="auto"/>
                <w:left w:val="none" w:sz="0" w:space="0" w:color="auto"/>
                <w:bottom w:val="none" w:sz="0" w:space="0" w:color="auto"/>
                <w:right w:val="none" w:sz="0" w:space="0" w:color="auto"/>
              </w:divBdr>
              <w:divsChild>
                <w:div w:id="636032003">
                  <w:marLeft w:val="0"/>
                  <w:marRight w:val="0"/>
                  <w:marTop w:val="0"/>
                  <w:marBottom w:val="0"/>
                  <w:divBdr>
                    <w:top w:val="none" w:sz="0" w:space="0" w:color="auto"/>
                    <w:left w:val="none" w:sz="0" w:space="0" w:color="auto"/>
                    <w:bottom w:val="none" w:sz="0" w:space="0" w:color="auto"/>
                    <w:right w:val="none" w:sz="0" w:space="0" w:color="auto"/>
                  </w:divBdr>
                  <w:divsChild>
                    <w:div w:id="8468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67021">
              <w:marLeft w:val="15"/>
              <w:marRight w:val="15"/>
              <w:marTop w:val="0"/>
              <w:marBottom w:val="15"/>
              <w:divBdr>
                <w:top w:val="none" w:sz="0" w:space="0" w:color="auto"/>
                <w:left w:val="none" w:sz="0" w:space="0" w:color="auto"/>
                <w:bottom w:val="none" w:sz="0" w:space="0" w:color="auto"/>
                <w:right w:val="none" w:sz="0" w:space="0" w:color="auto"/>
              </w:divBdr>
              <w:divsChild>
                <w:div w:id="1737626765">
                  <w:marLeft w:val="0"/>
                  <w:marRight w:val="0"/>
                  <w:marTop w:val="0"/>
                  <w:marBottom w:val="0"/>
                  <w:divBdr>
                    <w:top w:val="none" w:sz="0" w:space="0" w:color="auto"/>
                    <w:left w:val="none" w:sz="0" w:space="0" w:color="auto"/>
                    <w:bottom w:val="none" w:sz="0" w:space="0" w:color="auto"/>
                    <w:right w:val="none" w:sz="0" w:space="0" w:color="auto"/>
                  </w:divBdr>
                  <w:divsChild>
                    <w:div w:id="21616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088047">
              <w:marLeft w:val="15"/>
              <w:marRight w:val="15"/>
              <w:marTop w:val="0"/>
              <w:marBottom w:val="15"/>
              <w:divBdr>
                <w:top w:val="none" w:sz="0" w:space="0" w:color="auto"/>
                <w:left w:val="none" w:sz="0" w:space="0" w:color="auto"/>
                <w:bottom w:val="none" w:sz="0" w:space="0" w:color="auto"/>
                <w:right w:val="none" w:sz="0" w:space="0" w:color="auto"/>
              </w:divBdr>
              <w:divsChild>
                <w:div w:id="1799840448">
                  <w:marLeft w:val="0"/>
                  <w:marRight w:val="0"/>
                  <w:marTop w:val="0"/>
                  <w:marBottom w:val="0"/>
                  <w:divBdr>
                    <w:top w:val="none" w:sz="0" w:space="0" w:color="auto"/>
                    <w:left w:val="none" w:sz="0" w:space="0" w:color="auto"/>
                    <w:bottom w:val="none" w:sz="0" w:space="0" w:color="auto"/>
                    <w:right w:val="none" w:sz="0" w:space="0" w:color="auto"/>
                  </w:divBdr>
                  <w:divsChild>
                    <w:div w:id="1077365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875125">
      <w:bodyDiv w:val="1"/>
      <w:marLeft w:val="0"/>
      <w:marRight w:val="0"/>
      <w:marTop w:val="0"/>
      <w:marBottom w:val="0"/>
      <w:divBdr>
        <w:top w:val="none" w:sz="0" w:space="0" w:color="auto"/>
        <w:left w:val="none" w:sz="0" w:space="0" w:color="auto"/>
        <w:bottom w:val="none" w:sz="0" w:space="0" w:color="auto"/>
        <w:right w:val="none" w:sz="0" w:space="0" w:color="auto"/>
      </w:divBdr>
    </w:div>
    <w:div w:id="86511161">
      <w:bodyDiv w:val="1"/>
      <w:marLeft w:val="0"/>
      <w:marRight w:val="0"/>
      <w:marTop w:val="0"/>
      <w:marBottom w:val="0"/>
      <w:divBdr>
        <w:top w:val="none" w:sz="0" w:space="0" w:color="auto"/>
        <w:left w:val="none" w:sz="0" w:space="0" w:color="auto"/>
        <w:bottom w:val="none" w:sz="0" w:space="0" w:color="auto"/>
        <w:right w:val="none" w:sz="0" w:space="0" w:color="auto"/>
      </w:divBdr>
    </w:div>
    <w:div w:id="93330056">
      <w:bodyDiv w:val="1"/>
      <w:marLeft w:val="0"/>
      <w:marRight w:val="0"/>
      <w:marTop w:val="0"/>
      <w:marBottom w:val="0"/>
      <w:divBdr>
        <w:top w:val="none" w:sz="0" w:space="0" w:color="auto"/>
        <w:left w:val="none" w:sz="0" w:space="0" w:color="auto"/>
        <w:bottom w:val="none" w:sz="0" w:space="0" w:color="auto"/>
        <w:right w:val="none" w:sz="0" w:space="0" w:color="auto"/>
      </w:divBdr>
    </w:div>
    <w:div w:id="144470062">
      <w:bodyDiv w:val="1"/>
      <w:marLeft w:val="0"/>
      <w:marRight w:val="0"/>
      <w:marTop w:val="0"/>
      <w:marBottom w:val="0"/>
      <w:divBdr>
        <w:top w:val="none" w:sz="0" w:space="0" w:color="auto"/>
        <w:left w:val="none" w:sz="0" w:space="0" w:color="auto"/>
        <w:bottom w:val="none" w:sz="0" w:space="0" w:color="auto"/>
        <w:right w:val="none" w:sz="0" w:space="0" w:color="auto"/>
      </w:divBdr>
      <w:divsChild>
        <w:div w:id="957879222">
          <w:marLeft w:val="547"/>
          <w:marRight w:val="0"/>
          <w:marTop w:val="200"/>
          <w:marBottom w:val="0"/>
          <w:divBdr>
            <w:top w:val="none" w:sz="0" w:space="0" w:color="auto"/>
            <w:left w:val="none" w:sz="0" w:space="0" w:color="auto"/>
            <w:bottom w:val="none" w:sz="0" w:space="0" w:color="auto"/>
            <w:right w:val="none" w:sz="0" w:space="0" w:color="auto"/>
          </w:divBdr>
        </w:div>
        <w:div w:id="1931506275">
          <w:marLeft w:val="547"/>
          <w:marRight w:val="0"/>
          <w:marTop w:val="200"/>
          <w:marBottom w:val="0"/>
          <w:divBdr>
            <w:top w:val="none" w:sz="0" w:space="0" w:color="auto"/>
            <w:left w:val="none" w:sz="0" w:space="0" w:color="auto"/>
            <w:bottom w:val="none" w:sz="0" w:space="0" w:color="auto"/>
            <w:right w:val="none" w:sz="0" w:space="0" w:color="auto"/>
          </w:divBdr>
        </w:div>
        <w:div w:id="1477339435">
          <w:marLeft w:val="547"/>
          <w:marRight w:val="0"/>
          <w:marTop w:val="200"/>
          <w:marBottom w:val="0"/>
          <w:divBdr>
            <w:top w:val="none" w:sz="0" w:space="0" w:color="auto"/>
            <w:left w:val="none" w:sz="0" w:space="0" w:color="auto"/>
            <w:bottom w:val="none" w:sz="0" w:space="0" w:color="auto"/>
            <w:right w:val="none" w:sz="0" w:space="0" w:color="auto"/>
          </w:divBdr>
        </w:div>
        <w:div w:id="908468276">
          <w:marLeft w:val="547"/>
          <w:marRight w:val="0"/>
          <w:marTop w:val="200"/>
          <w:marBottom w:val="0"/>
          <w:divBdr>
            <w:top w:val="none" w:sz="0" w:space="0" w:color="auto"/>
            <w:left w:val="none" w:sz="0" w:space="0" w:color="auto"/>
            <w:bottom w:val="none" w:sz="0" w:space="0" w:color="auto"/>
            <w:right w:val="none" w:sz="0" w:space="0" w:color="auto"/>
          </w:divBdr>
        </w:div>
      </w:divsChild>
    </w:div>
    <w:div w:id="155922477">
      <w:bodyDiv w:val="1"/>
      <w:marLeft w:val="0"/>
      <w:marRight w:val="0"/>
      <w:marTop w:val="0"/>
      <w:marBottom w:val="0"/>
      <w:divBdr>
        <w:top w:val="none" w:sz="0" w:space="0" w:color="auto"/>
        <w:left w:val="none" w:sz="0" w:space="0" w:color="auto"/>
        <w:bottom w:val="none" w:sz="0" w:space="0" w:color="auto"/>
        <w:right w:val="none" w:sz="0" w:space="0" w:color="auto"/>
      </w:divBdr>
    </w:div>
    <w:div w:id="194001367">
      <w:bodyDiv w:val="1"/>
      <w:marLeft w:val="0"/>
      <w:marRight w:val="0"/>
      <w:marTop w:val="0"/>
      <w:marBottom w:val="0"/>
      <w:divBdr>
        <w:top w:val="none" w:sz="0" w:space="0" w:color="auto"/>
        <w:left w:val="none" w:sz="0" w:space="0" w:color="auto"/>
        <w:bottom w:val="none" w:sz="0" w:space="0" w:color="auto"/>
        <w:right w:val="none" w:sz="0" w:space="0" w:color="auto"/>
      </w:divBdr>
      <w:divsChild>
        <w:div w:id="1392921230">
          <w:marLeft w:val="547"/>
          <w:marRight w:val="0"/>
          <w:marTop w:val="200"/>
          <w:marBottom w:val="0"/>
          <w:divBdr>
            <w:top w:val="none" w:sz="0" w:space="0" w:color="auto"/>
            <w:left w:val="none" w:sz="0" w:space="0" w:color="auto"/>
            <w:bottom w:val="none" w:sz="0" w:space="0" w:color="auto"/>
            <w:right w:val="none" w:sz="0" w:space="0" w:color="auto"/>
          </w:divBdr>
        </w:div>
        <w:div w:id="658460603">
          <w:marLeft w:val="547"/>
          <w:marRight w:val="0"/>
          <w:marTop w:val="200"/>
          <w:marBottom w:val="0"/>
          <w:divBdr>
            <w:top w:val="none" w:sz="0" w:space="0" w:color="auto"/>
            <w:left w:val="none" w:sz="0" w:space="0" w:color="auto"/>
            <w:bottom w:val="none" w:sz="0" w:space="0" w:color="auto"/>
            <w:right w:val="none" w:sz="0" w:space="0" w:color="auto"/>
          </w:divBdr>
        </w:div>
        <w:div w:id="2102331409">
          <w:marLeft w:val="547"/>
          <w:marRight w:val="0"/>
          <w:marTop w:val="200"/>
          <w:marBottom w:val="0"/>
          <w:divBdr>
            <w:top w:val="none" w:sz="0" w:space="0" w:color="auto"/>
            <w:left w:val="none" w:sz="0" w:space="0" w:color="auto"/>
            <w:bottom w:val="none" w:sz="0" w:space="0" w:color="auto"/>
            <w:right w:val="none" w:sz="0" w:space="0" w:color="auto"/>
          </w:divBdr>
        </w:div>
        <w:div w:id="144973601">
          <w:marLeft w:val="547"/>
          <w:marRight w:val="0"/>
          <w:marTop w:val="200"/>
          <w:marBottom w:val="0"/>
          <w:divBdr>
            <w:top w:val="none" w:sz="0" w:space="0" w:color="auto"/>
            <w:left w:val="none" w:sz="0" w:space="0" w:color="auto"/>
            <w:bottom w:val="none" w:sz="0" w:space="0" w:color="auto"/>
            <w:right w:val="none" w:sz="0" w:space="0" w:color="auto"/>
          </w:divBdr>
        </w:div>
        <w:div w:id="291792997">
          <w:marLeft w:val="547"/>
          <w:marRight w:val="0"/>
          <w:marTop w:val="200"/>
          <w:marBottom w:val="0"/>
          <w:divBdr>
            <w:top w:val="none" w:sz="0" w:space="0" w:color="auto"/>
            <w:left w:val="none" w:sz="0" w:space="0" w:color="auto"/>
            <w:bottom w:val="none" w:sz="0" w:space="0" w:color="auto"/>
            <w:right w:val="none" w:sz="0" w:space="0" w:color="auto"/>
          </w:divBdr>
        </w:div>
      </w:divsChild>
    </w:div>
    <w:div w:id="221523445">
      <w:bodyDiv w:val="1"/>
      <w:marLeft w:val="0"/>
      <w:marRight w:val="0"/>
      <w:marTop w:val="0"/>
      <w:marBottom w:val="0"/>
      <w:divBdr>
        <w:top w:val="none" w:sz="0" w:space="0" w:color="auto"/>
        <w:left w:val="none" w:sz="0" w:space="0" w:color="auto"/>
        <w:bottom w:val="none" w:sz="0" w:space="0" w:color="auto"/>
        <w:right w:val="none" w:sz="0" w:space="0" w:color="auto"/>
      </w:divBdr>
    </w:div>
    <w:div w:id="236087540">
      <w:bodyDiv w:val="1"/>
      <w:marLeft w:val="0"/>
      <w:marRight w:val="0"/>
      <w:marTop w:val="0"/>
      <w:marBottom w:val="0"/>
      <w:divBdr>
        <w:top w:val="none" w:sz="0" w:space="0" w:color="auto"/>
        <w:left w:val="none" w:sz="0" w:space="0" w:color="auto"/>
        <w:bottom w:val="none" w:sz="0" w:space="0" w:color="auto"/>
        <w:right w:val="none" w:sz="0" w:space="0" w:color="auto"/>
      </w:divBdr>
    </w:div>
    <w:div w:id="276567306">
      <w:bodyDiv w:val="1"/>
      <w:marLeft w:val="0"/>
      <w:marRight w:val="0"/>
      <w:marTop w:val="0"/>
      <w:marBottom w:val="0"/>
      <w:divBdr>
        <w:top w:val="none" w:sz="0" w:space="0" w:color="auto"/>
        <w:left w:val="none" w:sz="0" w:space="0" w:color="auto"/>
        <w:bottom w:val="none" w:sz="0" w:space="0" w:color="auto"/>
        <w:right w:val="none" w:sz="0" w:space="0" w:color="auto"/>
      </w:divBdr>
    </w:div>
    <w:div w:id="297154414">
      <w:bodyDiv w:val="1"/>
      <w:marLeft w:val="0"/>
      <w:marRight w:val="0"/>
      <w:marTop w:val="0"/>
      <w:marBottom w:val="0"/>
      <w:divBdr>
        <w:top w:val="none" w:sz="0" w:space="0" w:color="auto"/>
        <w:left w:val="none" w:sz="0" w:space="0" w:color="auto"/>
        <w:bottom w:val="none" w:sz="0" w:space="0" w:color="auto"/>
        <w:right w:val="none" w:sz="0" w:space="0" w:color="auto"/>
      </w:divBdr>
    </w:div>
    <w:div w:id="329525737">
      <w:bodyDiv w:val="1"/>
      <w:marLeft w:val="0"/>
      <w:marRight w:val="0"/>
      <w:marTop w:val="0"/>
      <w:marBottom w:val="0"/>
      <w:divBdr>
        <w:top w:val="none" w:sz="0" w:space="0" w:color="auto"/>
        <w:left w:val="none" w:sz="0" w:space="0" w:color="auto"/>
        <w:bottom w:val="none" w:sz="0" w:space="0" w:color="auto"/>
        <w:right w:val="none" w:sz="0" w:space="0" w:color="auto"/>
      </w:divBdr>
      <w:divsChild>
        <w:div w:id="106314983">
          <w:marLeft w:val="547"/>
          <w:marRight w:val="0"/>
          <w:marTop w:val="200"/>
          <w:marBottom w:val="0"/>
          <w:divBdr>
            <w:top w:val="none" w:sz="0" w:space="0" w:color="auto"/>
            <w:left w:val="none" w:sz="0" w:space="0" w:color="auto"/>
            <w:bottom w:val="none" w:sz="0" w:space="0" w:color="auto"/>
            <w:right w:val="none" w:sz="0" w:space="0" w:color="auto"/>
          </w:divBdr>
        </w:div>
        <w:div w:id="1393964870">
          <w:marLeft w:val="547"/>
          <w:marRight w:val="0"/>
          <w:marTop w:val="200"/>
          <w:marBottom w:val="0"/>
          <w:divBdr>
            <w:top w:val="none" w:sz="0" w:space="0" w:color="auto"/>
            <w:left w:val="none" w:sz="0" w:space="0" w:color="auto"/>
            <w:bottom w:val="none" w:sz="0" w:space="0" w:color="auto"/>
            <w:right w:val="none" w:sz="0" w:space="0" w:color="auto"/>
          </w:divBdr>
        </w:div>
        <w:div w:id="1282691335">
          <w:marLeft w:val="547"/>
          <w:marRight w:val="0"/>
          <w:marTop w:val="200"/>
          <w:marBottom w:val="0"/>
          <w:divBdr>
            <w:top w:val="none" w:sz="0" w:space="0" w:color="auto"/>
            <w:left w:val="none" w:sz="0" w:space="0" w:color="auto"/>
            <w:bottom w:val="none" w:sz="0" w:space="0" w:color="auto"/>
            <w:right w:val="none" w:sz="0" w:space="0" w:color="auto"/>
          </w:divBdr>
        </w:div>
      </w:divsChild>
    </w:div>
    <w:div w:id="469328888">
      <w:bodyDiv w:val="1"/>
      <w:marLeft w:val="0"/>
      <w:marRight w:val="0"/>
      <w:marTop w:val="0"/>
      <w:marBottom w:val="0"/>
      <w:divBdr>
        <w:top w:val="none" w:sz="0" w:space="0" w:color="auto"/>
        <w:left w:val="none" w:sz="0" w:space="0" w:color="auto"/>
        <w:bottom w:val="none" w:sz="0" w:space="0" w:color="auto"/>
        <w:right w:val="none" w:sz="0" w:space="0" w:color="auto"/>
      </w:divBdr>
      <w:divsChild>
        <w:div w:id="2013023962">
          <w:marLeft w:val="547"/>
          <w:marRight w:val="0"/>
          <w:marTop w:val="200"/>
          <w:marBottom w:val="0"/>
          <w:divBdr>
            <w:top w:val="none" w:sz="0" w:space="0" w:color="auto"/>
            <w:left w:val="none" w:sz="0" w:space="0" w:color="auto"/>
            <w:bottom w:val="none" w:sz="0" w:space="0" w:color="auto"/>
            <w:right w:val="none" w:sz="0" w:space="0" w:color="auto"/>
          </w:divBdr>
        </w:div>
        <w:div w:id="1827238284">
          <w:marLeft w:val="547"/>
          <w:marRight w:val="0"/>
          <w:marTop w:val="200"/>
          <w:marBottom w:val="0"/>
          <w:divBdr>
            <w:top w:val="none" w:sz="0" w:space="0" w:color="auto"/>
            <w:left w:val="none" w:sz="0" w:space="0" w:color="auto"/>
            <w:bottom w:val="none" w:sz="0" w:space="0" w:color="auto"/>
            <w:right w:val="none" w:sz="0" w:space="0" w:color="auto"/>
          </w:divBdr>
        </w:div>
        <w:div w:id="363673420">
          <w:marLeft w:val="547"/>
          <w:marRight w:val="0"/>
          <w:marTop w:val="200"/>
          <w:marBottom w:val="0"/>
          <w:divBdr>
            <w:top w:val="none" w:sz="0" w:space="0" w:color="auto"/>
            <w:left w:val="none" w:sz="0" w:space="0" w:color="auto"/>
            <w:bottom w:val="none" w:sz="0" w:space="0" w:color="auto"/>
            <w:right w:val="none" w:sz="0" w:space="0" w:color="auto"/>
          </w:divBdr>
        </w:div>
        <w:div w:id="1005128255">
          <w:marLeft w:val="547"/>
          <w:marRight w:val="0"/>
          <w:marTop w:val="200"/>
          <w:marBottom w:val="0"/>
          <w:divBdr>
            <w:top w:val="none" w:sz="0" w:space="0" w:color="auto"/>
            <w:left w:val="none" w:sz="0" w:space="0" w:color="auto"/>
            <w:bottom w:val="none" w:sz="0" w:space="0" w:color="auto"/>
            <w:right w:val="none" w:sz="0" w:space="0" w:color="auto"/>
          </w:divBdr>
        </w:div>
        <w:div w:id="849641021">
          <w:marLeft w:val="547"/>
          <w:marRight w:val="0"/>
          <w:marTop w:val="200"/>
          <w:marBottom w:val="0"/>
          <w:divBdr>
            <w:top w:val="none" w:sz="0" w:space="0" w:color="auto"/>
            <w:left w:val="none" w:sz="0" w:space="0" w:color="auto"/>
            <w:bottom w:val="none" w:sz="0" w:space="0" w:color="auto"/>
            <w:right w:val="none" w:sz="0" w:space="0" w:color="auto"/>
          </w:divBdr>
        </w:div>
      </w:divsChild>
    </w:div>
    <w:div w:id="507986583">
      <w:bodyDiv w:val="1"/>
      <w:marLeft w:val="0"/>
      <w:marRight w:val="0"/>
      <w:marTop w:val="0"/>
      <w:marBottom w:val="0"/>
      <w:divBdr>
        <w:top w:val="none" w:sz="0" w:space="0" w:color="auto"/>
        <w:left w:val="none" w:sz="0" w:space="0" w:color="auto"/>
        <w:bottom w:val="none" w:sz="0" w:space="0" w:color="auto"/>
        <w:right w:val="none" w:sz="0" w:space="0" w:color="auto"/>
      </w:divBdr>
      <w:divsChild>
        <w:div w:id="1985430747">
          <w:marLeft w:val="0"/>
          <w:marRight w:val="0"/>
          <w:marTop w:val="0"/>
          <w:marBottom w:val="0"/>
          <w:divBdr>
            <w:top w:val="none" w:sz="0" w:space="0" w:color="auto"/>
            <w:left w:val="none" w:sz="0" w:space="0" w:color="auto"/>
            <w:bottom w:val="none" w:sz="0" w:space="0" w:color="auto"/>
            <w:right w:val="none" w:sz="0" w:space="0" w:color="auto"/>
          </w:divBdr>
        </w:div>
      </w:divsChild>
    </w:div>
    <w:div w:id="508839138">
      <w:bodyDiv w:val="1"/>
      <w:marLeft w:val="0"/>
      <w:marRight w:val="0"/>
      <w:marTop w:val="0"/>
      <w:marBottom w:val="0"/>
      <w:divBdr>
        <w:top w:val="none" w:sz="0" w:space="0" w:color="auto"/>
        <w:left w:val="none" w:sz="0" w:space="0" w:color="auto"/>
        <w:bottom w:val="none" w:sz="0" w:space="0" w:color="auto"/>
        <w:right w:val="none" w:sz="0" w:space="0" w:color="auto"/>
      </w:divBdr>
      <w:divsChild>
        <w:div w:id="243682715">
          <w:marLeft w:val="547"/>
          <w:marRight w:val="0"/>
          <w:marTop w:val="200"/>
          <w:marBottom w:val="0"/>
          <w:divBdr>
            <w:top w:val="none" w:sz="0" w:space="0" w:color="auto"/>
            <w:left w:val="none" w:sz="0" w:space="0" w:color="auto"/>
            <w:bottom w:val="none" w:sz="0" w:space="0" w:color="auto"/>
            <w:right w:val="none" w:sz="0" w:space="0" w:color="auto"/>
          </w:divBdr>
        </w:div>
        <w:div w:id="658267098">
          <w:marLeft w:val="547"/>
          <w:marRight w:val="0"/>
          <w:marTop w:val="200"/>
          <w:marBottom w:val="0"/>
          <w:divBdr>
            <w:top w:val="none" w:sz="0" w:space="0" w:color="auto"/>
            <w:left w:val="none" w:sz="0" w:space="0" w:color="auto"/>
            <w:bottom w:val="none" w:sz="0" w:space="0" w:color="auto"/>
            <w:right w:val="none" w:sz="0" w:space="0" w:color="auto"/>
          </w:divBdr>
        </w:div>
        <w:div w:id="692264966">
          <w:marLeft w:val="547"/>
          <w:marRight w:val="0"/>
          <w:marTop w:val="200"/>
          <w:marBottom w:val="0"/>
          <w:divBdr>
            <w:top w:val="none" w:sz="0" w:space="0" w:color="auto"/>
            <w:left w:val="none" w:sz="0" w:space="0" w:color="auto"/>
            <w:bottom w:val="none" w:sz="0" w:space="0" w:color="auto"/>
            <w:right w:val="none" w:sz="0" w:space="0" w:color="auto"/>
          </w:divBdr>
        </w:div>
      </w:divsChild>
    </w:div>
    <w:div w:id="519011602">
      <w:bodyDiv w:val="1"/>
      <w:marLeft w:val="0"/>
      <w:marRight w:val="0"/>
      <w:marTop w:val="0"/>
      <w:marBottom w:val="0"/>
      <w:divBdr>
        <w:top w:val="none" w:sz="0" w:space="0" w:color="auto"/>
        <w:left w:val="none" w:sz="0" w:space="0" w:color="auto"/>
        <w:bottom w:val="none" w:sz="0" w:space="0" w:color="auto"/>
        <w:right w:val="none" w:sz="0" w:space="0" w:color="auto"/>
      </w:divBdr>
      <w:divsChild>
        <w:div w:id="1288732283">
          <w:marLeft w:val="0"/>
          <w:marRight w:val="0"/>
          <w:marTop w:val="0"/>
          <w:marBottom w:val="0"/>
          <w:divBdr>
            <w:top w:val="none" w:sz="0" w:space="0" w:color="auto"/>
            <w:left w:val="none" w:sz="0" w:space="0" w:color="auto"/>
            <w:bottom w:val="none" w:sz="0" w:space="0" w:color="auto"/>
            <w:right w:val="none" w:sz="0" w:space="0" w:color="auto"/>
          </w:divBdr>
        </w:div>
        <w:div w:id="1293638746">
          <w:marLeft w:val="0"/>
          <w:marRight w:val="0"/>
          <w:marTop w:val="0"/>
          <w:marBottom w:val="0"/>
          <w:divBdr>
            <w:top w:val="none" w:sz="0" w:space="0" w:color="auto"/>
            <w:left w:val="none" w:sz="0" w:space="0" w:color="auto"/>
            <w:bottom w:val="none" w:sz="0" w:space="0" w:color="auto"/>
            <w:right w:val="none" w:sz="0" w:space="0" w:color="auto"/>
          </w:divBdr>
          <w:divsChild>
            <w:div w:id="575868221">
              <w:marLeft w:val="15"/>
              <w:marRight w:val="15"/>
              <w:marTop w:val="0"/>
              <w:marBottom w:val="15"/>
              <w:divBdr>
                <w:top w:val="none" w:sz="0" w:space="0" w:color="auto"/>
                <w:left w:val="none" w:sz="0" w:space="0" w:color="auto"/>
                <w:bottom w:val="none" w:sz="0" w:space="0" w:color="auto"/>
                <w:right w:val="none" w:sz="0" w:space="0" w:color="auto"/>
              </w:divBdr>
              <w:divsChild>
                <w:div w:id="85617355">
                  <w:marLeft w:val="0"/>
                  <w:marRight w:val="0"/>
                  <w:marTop w:val="0"/>
                  <w:marBottom w:val="0"/>
                  <w:divBdr>
                    <w:top w:val="none" w:sz="0" w:space="0" w:color="auto"/>
                    <w:left w:val="none" w:sz="0" w:space="0" w:color="auto"/>
                    <w:bottom w:val="none" w:sz="0" w:space="0" w:color="auto"/>
                    <w:right w:val="none" w:sz="0" w:space="0" w:color="auto"/>
                  </w:divBdr>
                  <w:divsChild>
                    <w:div w:id="184099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987919">
              <w:marLeft w:val="15"/>
              <w:marRight w:val="15"/>
              <w:marTop w:val="0"/>
              <w:marBottom w:val="15"/>
              <w:divBdr>
                <w:top w:val="none" w:sz="0" w:space="0" w:color="auto"/>
                <w:left w:val="none" w:sz="0" w:space="0" w:color="auto"/>
                <w:bottom w:val="none" w:sz="0" w:space="0" w:color="auto"/>
                <w:right w:val="none" w:sz="0" w:space="0" w:color="auto"/>
              </w:divBdr>
              <w:divsChild>
                <w:div w:id="945040325">
                  <w:marLeft w:val="0"/>
                  <w:marRight w:val="0"/>
                  <w:marTop w:val="0"/>
                  <w:marBottom w:val="0"/>
                  <w:divBdr>
                    <w:top w:val="none" w:sz="0" w:space="0" w:color="auto"/>
                    <w:left w:val="none" w:sz="0" w:space="0" w:color="auto"/>
                    <w:bottom w:val="none" w:sz="0" w:space="0" w:color="auto"/>
                    <w:right w:val="none" w:sz="0" w:space="0" w:color="auto"/>
                  </w:divBdr>
                  <w:divsChild>
                    <w:div w:id="181247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263007">
              <w:marLeft w:val="15"/>
              <w:marRight w:val="15"/>
              <w:marTop w:val="0"/>
              <w:marBottom w:val="15"/>
              <w:divBdr>
                <w:top w:val="none" w:sz="0" w:space="0" w:color="auto"/>
                <w:left w:val="none" w:sz="0" w:space="0" w:color="auto"/>
                <w:bottom w:val="none" w:sz="0" w:space="0" w:color="auto"/>
                <w:right w:val="none" w:sz="0" w:space="0" w:color="auto"/>
              </w:divBdr>
              <w:divsChild>
                <w:div w:id="856163422">
                  <w:marLeft w:val="0"/>
                  <w:marRight w:val="0"/>
                  <w:marTop w:val="0"/>
                  <w:marBottom w:val="0"/>
                  <w:divBdr>
                    <w:top w:val="none" w:sz="0" w:space="0" w:color="auto"/>
                    <w:left w:val="none" w:sz="0" w:space="0" w:color="auto"/>
                    <w:bottom w:val="none" w:sz="0" w:space="0" w:color="auto"/>
                    <w:right w:val="none" w:sz="0" w:space="0" w:color="auto"/>
                  </w:divBdr>
                  <w:divsChild>
                    <w:div w:id="946423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479893">
      <w:bodyDiv w:val="1"/>
      <w:marLeft w:val="0"/>
      <w:marRight w:val="0"/>
      <w:marTop w:val="0"/>
      <w:marBottom w:val="0"/>
      <w:divBdr>
        <w:top w:val="none" w:sz="0" w:space="0" w:color="auto"/>
        <w:left w:val="none" w:sz="0" w:space="0" w:color="auto"/>
        <w:bottom w:val="none" w:sz="0" w:space="0" w:color="auto"/>
        <w:right w:val="none" w:sz="0" w:space="0" w:color="auto"/>
      </w:divBdr>
      <w:divsChild>
        <w:div w:id="721368045">
          <w:marLeft w:val="0"/>
          <w:marRight w:val="0"/>
          <w:marTop w:val="0"/>
          <w:marBottom w:val="0"/>
          <w:divBdr>
            <w:top w:val="none" w:sz="0" w:space="0" w:color="auto"/>
            <w:left w:val="none" w:sz="0" w:space="0" w:color="auto"/>
            <w:bottom w:val="none" w:sz="0" w:space="0" w:color="auto"/>
            <w:right w:val="none" w:sz="0" w:space="0" w:color="auto"/>
          </w:divBdr>
        </w:div>
      </w:divsChild>
    </w:div>
    <w:div w:id="543829754">
      <w:bodyDiv w:val="1"/>
      <w:marLeft w:val="0"/>
      <w:marRight w:val="0"/>
      <w:marTop w:val="0"/>
      <w:marBottom w:val="0"/>
      <w:divBdr>
        <w:top w:val="none" w:sz="0" w:space="0" w:color="auto"/>
        <w:left w:val="none" w:sz="0" w:space="0" w:color="auto"/>
        <w:bottom w:val="none" w:sz="0" w:space="0" w:color="auto"/>
        <w:right w:val="none" w:sz="0" w:space="0" w:color="auto"/>
      </w:divBdr>
    </w:div>
    <w:div w:id="558053694">
      <w:bodyDiv w:val="1"/>
      <w:marLeft w:val="0"/>
      <w:marRight w:val="0"/>
      <w:marTop w:val="0"/>
      <w:marBottom w:val="0"/>
      <w:divBdr>
        <w:top w:val="none" w:sz="0" w:space="0" w:color="auto"/>
        <w:left w:val="none" w:sz="0" w:space="0" w:color="auto"/>
        <w:bottom w:val="none" w:sz="0" w:space="0" w:color="auto"/>
        <w:right w:val="none" w:sz="0" w:space="0" w:color="auto"/>
      </w:divBdr>
    </w:div>
    <w:div w:id="564494250">
      <w:bodyDiv w:val="1"/>
      <w:marLeft w:val="0"/>
      <w:marRight w:val="0"/>
      <w:marTop w:val="0"/>
      <w:marBottom w:val="0"/>
      <w:divBdr>
        <w:top w:val="none" w:sz="0" w:space="0" w:color="auto"/>
        <w:left w:val="none" w:sz="0" w:space="0" w:color="auto"/>
        <w:bottom w:val="none" w:sz="0" w:space="0" w:color="auto"/>
        <w:right w:val="none" w:sz="0" w:space="0" w:color="auto"/>
      </w:divBdr>
      <w:divsChild>
        <w:div w:id="1821657505">
          <w:marLeft w:val="547"/>
          <w:marRight w:val="0"/>
          <w:marTop w:val="200"/>
          <w:marBottom w:val="0"/>
          <w:divBdr>
            <w:top w:val="none" w:sz="0" w:space="0" w:color="auto"/>
            <w:left w:val="none" w:sz="0" w:space="0" w:color="auto"/>
            <w:bottom w:val="none" w:sz="0" w:space="0" w:color="auto"/>
            <w:right w:val="none" w:sz="0" w:space="0" w:color="auto"/>
          </w:divBdr>
        </w:div>
        <w:div w:id="1937976385">
          <w:marLeft w:val="547"/>
          <w:marRight w:val="0"/>
          <w:marTop w:val="200"/>
          <w:marBottom w:val="0"/>
          <w:divBdr>
            <w:top w:val="none" w:sz="0" w:space="0" w:color="auto"/>
            <w:left w:val="none" w:sz="0" w:space="0" w:color="auto"/>
            <w:bottom w:val="none" w:sz="0" w:space="0" w:color="auto"/>
            <w:right w:val="none" w:sz="0" w:space="0" w:color="auto"/>
          </w:divBdr>
        </w:div>
        <w:div w:id="929847163">
          <w:marLeft w:val="547"/>
          <w:marRight w:val="0"/>
          <w:marTop w:val="200"/>
          <w:marBottom w:val="0"/>
          <w:divBdr>
            <w:top w:val="none" w:sz="0" w:space="0" w:color="auto"/>
            <w:left w:val="none" w:sz="0" w:space="0" w:color="auto"/>
            <w:bottom w:val="none" w:sz="0" w:space="0" w:color="auto"/>
            <w:right w:val="none" w:sz="0" w:space="0" w:color="auto"/>
          </w:divBdr>
        </w:div>
      </w:divsChild>
    </w:div>
    <w:div w:id="590433029">
      <w:bodyDiv w:val="1"/>
      <w:marLeft w:val="0"/>
      <w:marRight w:val="0"/>
      <w:marTop w:val="0"/>
      <w:marBottom w:val="0"/>
      <w:divBdr>
        <w:top w:val="none" w:sz="0" w:space="0" w:color="auto"/>
        <w:left w:val="none" w:sz="0" w:space="0" w:color="auto"/>
        <w:bottom w:val="none" w:sz="0" w:space="0" w:color="auto"/>
        <w:right w:val="none" w:sz="0" w:space="0" w:color="auto"/>
      </w:divBdr>
      <w:divsChild>
        <w:div w:id="1771045176">
          <w:marLeft w:val="547"/>
          <w:marRight w:val="0"/>
          <w:marTop w:val="200"/>
          <w:marBottom w:val="0"/>
          <w:divBdr>
            <w:top w:val="none" w:sz="0" w:space="0" w:color="auto"/>
            <w:left w:val="none" w:sz="0" w:space="0" w:color="auto"/>
            <w:bottom w:val="none" w:sz="0" w:space="0" w:color="auto"/>
            <w:right w:val="none" w:sz="0" w:space="0" w:color="auto"/>
          </w:divBdr>
        </w:div>
        <w:div w:id="1987590570">
          <w:marLeft w:val="547"/>
          <w:marRight w:val="0"/>
          <w:marTop w:val="200"/>
          <w:marBottom w:val="0"/>
          <w:divBdr>
            <w:top w:val="none" w:sz="0" w:space="0" w:color="auto"/>
            <w:left w:val="none" w:sz="0" w:space="0" w:color="auto"/>
            <w:bottom w:val="none" w:sz="0" w:space="0" w:color="auto"/>
            <w:right w:val="none" w:sz="0" w:space="0" w:color="auto"/>
          </w:divBdr>
        </w:div>
        <w:div w:id="426387255">
          <w:marLeft w:val="547"/>
          <w:marRight w:val="0"/>
          <w:marTop w:val="200"/>
          <w:marBottom w:val="0"/>
          <w:divBdr>
            <w:top w:val="none" w:sz="0" w:space="0" w:color="auto"/>
            <w:left w:val="none" w:sz="0" w:space="0" w:color="auto"/>
            <w:bottom w:val="none" w:sz="0" w:space="0" w:color="auto"/>
            <w:right w:val="none" w:sz="0" w:space="0" w:color="auto"/>
          </w:divBdr>
        </w:div>
        <w:div w:id="504244867">
          <w:marLeft w:val="547"/>
          <w:marRight w:val="0"/>
          <w:marTop w:val="200"/>
          <w:marBottom w:val="0"/>
          <w:divBdr>
            <w:top w:val="none" w:sz="0" w:space="0" w:color="auto"/>
            <w:left w:val="none" w:sz="0" w:space="0" w:color="auto"/>
            <w:bottom w:val="none" w:sz="0" w:space="0" w:color="auto"/>
            <w:right w:val="none" w:sz="0" w:space="0" w:color="auto"/>
          </w:divBdr>
        </w:div>
        <w:div w:id="1934824835">
          <w:marLeft w:val="547"/>
          <w:marRight w:val="0"/>
          <w:marTop w:val="200"/>
          <w:marBottom w:val="0"/>
          <w:divBdr>
            <w:top w:val="none" w:sz="0" w:space="0" w:color="auto"/>
            <w:left w:val="none" w:sz="0" w:space="0" w:color="auto"/>
            <w:bottom w:val="none" w:sz="0" w:space="0" w:color="auto"/>
            <w:right w:val="none" w:sz="0" w:space="0" w:color="auto"/>
          </w:divBdr>
        </w:div>
        <w:div w:id="1240865808">
          <w:marLeft w:val="547"/>
          <w:marRight w:val="0"/>
          <w:marTop w:val="200"/>
          <w:marBottom w:val="0"/>
          <w:divBdr>
            <w:top w:val="none" w:sz="0" w:space="0" w:color="auto"/>
            <w:left w:val="none" w:sz="0" w:space="0" w:color="auto"/>
            <w:bottom w:val="none" w:sz="0" w:space="0" w:color="auto"/>
            <w:right w:val="none" w:sz="0" w:space="0" w:color="auto"/>
          </w:divBdr>
        </w:div>
      </w:divsChild>
    </w:div>
    <w:div w:id="615673281">
      <w:bodyDiv w:val="1"/>
      <w:marLeft w:val="0"/>
      <w:marRight w:val="0"/>
      <w:marTop w:val="0"/>
      <w:marBottom w:val="0"/>
      <w:divBdr>
        <w:top w:val="none" w:sz="0" w:space="0" w:color="auto"/>
        <w:left w:val="none" w:sz="0" w:space="0" w:color="auto"/>
        <w:bottom w:val="none" w:sz="0" w:space="0" w:color="auto"/>
        <w:right w:val="none" w:sz="0" w:space="0" w:color="auto"/>
      </w:divBdr>
    </w:div>
    <w:div w:id="636956998">
      <w:bodyDiv w:val="1"/>
      <w:marLeft w:val="0"/>
      <w:marRight w:val="0"/>
      <w:marTop w:val="0"/>
      <w:marBottom w:val="0"/>
      <w:divBdr>
        <w:top w:val="none" w:sz="0" w:space="0" w:color="auto"/>
        <w:left w:val="none" w:sz="0" w:space="0" w:color="auto"/>
        <w:bottom w:val="none" w:sz="0" w:space="0" w:color="auto"/>
        <w:right w:val="none" w:sz="0" w:space="0" w:color="auto"/>
      </w:divBdr>
    </w:div>
    <w:div w:id="637416662">
      <w:bodyDiv w:val="1"/>
      <w:marLeft w:val="0"/>
      <w:marRight w:val="0"/>
      <w:marTop w:val="0"/>
      <w:marBottom w:val="0"/>
      <w:divBdr>
        <w:top w:val="none" w:sz="0" w:space="0" w:color="auto"/>
        <w:left w:val="none" w:sz="0" w:space="0" w:color="auto"/>
        <w:bottom w:val="none" w:sz="0" w:space="0" w:color="auto"/>
        <w:right w:val="none" w:sz="0" w:space="0" w:color="auto"/>
      </w:divBdr>
      <w:divsChild>
        <w:div w:id="425617373">
          <w:marLeft w:val="547"/>
          <w:marRight w:val="0"/>
          <w:marTop w:val="200"/>
          <w:marBottom w:val="0"/>
          <w:divBdr>
            <w:top w:val="none" w:sz="0" w:space="0" w:color="auto"/>
            <w:left w:val="none" w:sz="0" w:space="0" w:color="auto"/>
            <w:bottom w:val="none" w:sz="0" w:space="0" w:color="auto"/>
            <w:right w:val="none" w:sz="0" w:space="0" w:color="auto"/>
          </w:divBdr>
        </w:div>
        <w:div w:id="548959749">
          <w:marLeft w:val="547"/>
          <w:marRight w:val="0"/>
          <w:marTop w:val="200"/>
          <w:marBottom w:val="0"/>
          <w:divBdr>
            <w:top w:val="none" w:sz="0" w:space="0" w:color="auto"/>
            <w:left w:val="none" w:sz="0" w:space="0" w:color="auto"/>
            <w:bottom w:val="none" w:sz="0" w:space="0" w:color="auto"/>
            <w:right w:val="none" w:sz="0" w:space="0" w:color="auto"/>
          </w:divBdr>
        </w:div>
        <w:div w:id="1723598819">
          <w:marLeft w:val="547"/>
          <w:marRight w:val="0"/>
          <w:marTop w:val="200"/>
          <w:marBottom w:val="0"/>
          <w:divBdr>
            <w:top w:val="none" w:sz="0" w:space="0" w:color="auto"/>
            <w:left w:val="none" w:sz="0" w:space="0" w:color="auto"/>
            <w:bottom w:val="none" w:sz="0" w:space="0" w:color="auto"/>
            <w:right w:val="none" w:sz="0" w:space="0" w:color="auto"/>
          </w:divBdr>
        </w:div>
      </w:divsChild>
    </w:div>
    <w:div w:id="705830164">
      <w:bodyDiv w:val="1"/>
      <w:marLeft w:val="0"/>
      <w:marRight w:val="0"/>
      <w:marTop w:val="0"/>
      <w:marBottom w:val="0"/>
      <w:divBdr>
        <w:top w:val="none" w:sz="0" w:space="0" w:color="auto"/>
        <w:left w:val="none" w:sz="0" w:space="0" w:color="auto"/>
        <w:bottom w:val="none" w:sz="0" w:space="0" w:color="auto"/>
        <w:right w:val="none" w:sz="0" w:space="0" w:color="auto"/>
      </w:divBdr>
    </w:div>
    <w:div w:id="755714607">
      <w:bodyDiv w:val="1"/>
      <w:marLeft w:val="0"/>
      <w:marRight w:val="0"/>
      <w:marTop w:val="0"/>
      <w:marBottom w:val="0"/>
      <w:divBdr>
        <w:top w:val="none" w:sz="0" w:space="0" w:color="auto"/>
        <w:left w:val="none" w:sz="0" w:space="0" w:color="auto"/>
        <w:bottom w:val="none" w:sz="0" w:space="0" w:color="auto"/>
        <w:right w:val="none" w:sz="0" w:space="0" w:color="auto"/>
      </w:divBdr>
    </w:div>
    <w:div w:id="1001390382">
      <w:bodyDiv w:val="1"/>
      <w:marLeft w:val="0"/>
      <w:marRight w:val="0"/>
      <w:marTop w:val="0"/>
      <w:marBottom w:val="0"/>
      <w:divBdr>
        <w:top w:val="none" w:sz="0" w:space="0" w:color="auto"/>
        <w:left w:val="none" w:sz="0" w:space="0" w:color="auto"/>
        <w:bottom w:val="none" w:sz="0" w:space="0" w:color="auto"/>
        <w:right w:val="none" w:sz="0" w:space="0" w:color="auto"/>
      </w:divBdr>
    </w:div>
    <w:div w:id="1011565616">
      <w:bodyDiv w:val="1"/>
      <w:marLeft w:val="0"/>
      <w:marRight w:val="0"/>
      <w:marTop w:val="0"/>
      <w:marBottom w:val="0"/>
      <w:divBdr>
        <w:top w:val="none" w:sz="0" w:space="0" w:color="auto"/>
        <w:left w:val="none" w:sz="0" w:space="0" w:color="auto"/>
        <w:bottom w:val="none" w:sz="0" w:space="0" w:color="auto"/>
        <w:right w:val="none" w:sz="0" w:space="0" w:color="auto"/>
      </w:divBdr>
      <w:divsChild>
        <w:div w:id="1210799129">
          <w:marLeft w:val="547"/>
          <w:marRight w:val="0"/>
          <w:marTop w:val="200"/>
          <w:marBottom w:val="0"/>
          <w:divBdr>
            <w:top w:val="none" w:sz="0" w:space="0" w:color="auto"/>
            <w:left w:val="none" w:sz="0" w:space="0" w:color="auto"/>
            <w:bottom w:val="none" w:sz="0" w:space="0" w:color="auto"/>
            <w:right w:val="none" w:sz="0" w:space="0" w:color="auto"/>
          </w:divBdr>
        </w:div>
        <w:div w:id="2037464890">
          <w:marLeft w:val="547"/>
          <w:marRight w:val="0"/>
          <w:marTop w:val="200"/>
          <w:marBottom w:val="0"/>
          <w:divBdr>
            <w:top w:val="none" w:sz="0" w:space="0" w:color="auto"/>
            <w:left w:val="none" w:sz="0" w:space="0" w:color="auto"/>
            <w:bottom w:val="none" w:sz="0" w:space="0" w:color="auto"/>
            <w:right w:val="none" w:sz="0" w:space="0" w:color="auto"/>
          </w:divBdr>
        </w:div>
      </w:divsChild>
    </w:div>
    <w:div w:id="1092969723">
      <w:bodyDiv w:val="1"/>
      <w:marLeft w:val="0"/>
      <w:marRight w:val="0"/>
      <w:marTop w:val="0"/>
      <w:marBottom w:val="0"/>
      <w:divBdr>
        <w:top w:val="none" w:sz="0" w:space="0" w:color="auto"/>
        <w:left w:val="none" w:sz="0" w:space="0" w:color="auto"/>
        <w:bottom w:val="none" w:sz="0" w:space="0" w:color="auto"/>
        <w:right w:val="none" w:sz="0" w:space="0" w:color="auto"/>
      </w:divBdr>
      <w:divsChild>
        <w:div w:id="1623725069">
          <w:marLeft w:val="0"/>
          <w:marRight w:val="0"/>
          <w:marTop w:val="0"/>
          <w:marBottom w:val="150"/>
          <w:divBdr>
            <w:top w:val="none" w:sz="0" w:space="0" w:color="auto"/>
            <w:left w:val="none" w:sz="0" w:space="0" w:color="auto"/>
            <w:bottom w:val="none" w:sz="0" w:space="0" w:color="auto"/>
            <w:right w:val="none" w:sz="0" w:space="0" w:color="auto"/>
          </w:divBdr>
        </w:div>
        <w:div w:id="1673530013">
          <w:marLeft w:val="-225"/>
          <w:marRight w:val="-225"/>
          <w:marTop w:val="0"/>
          <w:marBottom w:val="0"/>
          <w:divBdr>
            <w:top w:val="none" w:sz="0" w:space="0" w:color="auto"/>
            <w:left w:val="none" w:sz="0" w:space="0" w:color="auto"/>
            <w:bottom w:val="none" w:sz="0" w:space="0" w:color="auto"/>
            <w:right w:val="none" w:sz="0" w:space="0" w:color="auto"/>
          </w:divBdr>
          <w:divsChild>
            <w:div w:id="1418986306">
              <w:marLeft w:val="0"/>
              <w:marRight w:val="0"/>
              <w:marTop w:val="0"/>
              <w:marBottom w:val="0"/>
              <w:divBdr>
                <w:top w:val="none" w:sz="0" w:space="0" w:color="auto"/>
                <w:left w:val="none" w:sz="0" w:space="0" w:color="auto"/>
                <w:bottom w:val="none" w:sz="0" w:space="0" w:color="auto"/>
                <w:right w:val="none" w:sz="0" w:space="0" w:color="auto"/>
              </w:divBdr>
              <w:divsChild>
                <w:div w:id="1504054422">
                  <w:marLeft w:val="0"/>
                  <w:marRight w:val="0"/>
                  <w:marTop w:val="0"/>
                  <w:marBottom w:val="0"/>
                  <w:divBdr>
                    <w:top w:val="none" w:sz="0" w:space="0" w:color="auto"/>
                    <w:left w:val="none" w:sz="0" w:space="0" w:color="auto"/>
                    <w:bottom w:val="none" w:sz="0" w:space="0" w:color="auto"/>
                    <w:right w:val="none" w:sz="0" w:space="0" w:color="auto"/>
                  </w:divBdr>
                  <w:divsChild>
                    <w:div w:id="1273896155">
                      <w:marLeft w:val="0"/>
                      <w:marRight w:val="0"/>
                      <w:marTop w:val="0"/>
                      <w:marBottom w:val="0"/>
                      <w:divBdr>
                        <w:top w:val="none" w:sz="0" w:space="0" w:color="auto"/>
                        <w:left w:val="none" w:sz="0" w:space="0" w:color="auto"/>
                        <w:bottom w:val="none" w:sz="0" w:space="0" w:color="auto"/>
                        <w:right w:val="none" w:sz="0" w:space="0" w:color="auto"/>
                      </w:divBdr>
                    </w:div>
                    <w:div w:id="20658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588677">
              <w:marLeft w:val="0"/>
              <w:marRight w:val="0"/>
              <w:marTop w:val="0"/>
              <w:marBottom w:val="0"/>
              <w:divBdr>
                <w:top w:val="none" w:sz="0" w:space="0" w:color="auto"/>
                <w:left w:val="none" w:sz="0" w:space="0" w:color="auto"/>
                <w:bottom w:val="none" w:sz="0" w:space="0" w:color="auto"/>
                <w:right w:val="none" w:sz="0" w:space="0" w:color="auto"/>
              </w:divBdr>
              <w:divsChild>
                <w:div w:id="1182429704">
                  <w:marLeft w:val="0"/>
                  <w:marRight w:val="0"/>
                  <w:marTop w:val="0"/>
                  <w:marBottom w:val="0"/>
                  <w:divBdr>
                    <w:top w:val="none" w:sz="0" w:space="0" w:color="auto"/>
                    <w:left w:val="none" w:sz="0" w:space="0" w:color="auto"/>
                    <w:bottom w:val="none" w:sz="0" w:space="0" w:color="auto"/>
                    <w:right w:val="none" w:sz="0" w:space="0" w:color="auto"/>
                  </w:divBdr>
                  <w:divsChild>
                    <w:div w:id="1982074150">
                      <w:marLeft w:val="0"/>
                      <w:marRight w:val="0"/>
                      <w:marTop w:val="0"/>
                      <w:marBottom w:val="0"/>
                      <w:divBdr>
                        <w:top w:val="none" w:sz="0" w:space="0" w:color="auto"/>
                        <w:left w:val="none" w:sz="0" w:space="0" w:color="auto"/>
                        <w:bottom w:val="none" w:sz="0" w:space="0" w:color="auto"/>
                        <w:right w:val="none" w:sz="0" w:space="0" w:color="auto"/>
                      </w:divBdr>
                    </w:div>
                    <w:div w:id="179340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590404">
              <w:marLeft w:val="0"/>
              <w:marRight w:val="0"/>
              <w:marTop w:val="0"/>
              <w:marBottom w:val="0"/>
              <w:divBdr>
                <w:top w:val="none" w:sz="0" w:space="0" w:color="auto"/>
                <w:left w:val="none" w:sz="0" w:space="0" w:color="auto"/>
                <w:bottom w:val="none" w:sz="0" w:space="0" w:color="auto"/>
                <w:right w:val="none" w:sz="0" w:space="0" w:color="auto"/>
              </w:divBdr>
              <w:divsChild>
                <w:div w:id="1161505479">
                  <w:marLeft w:val="0"/>
                  <w:marRight w:val="0"/>
                  <w:marTop w:val="0"/>
                  <w:marBottom w:val="0"/>
                  <w:divBdr>
                    <w:top w:val="none" w:sz="0" w:space="0" w:color="auto"/>
                    <w:left w:val="none" w:sz="0" w:space="0" w:color="auto"/>
                    <w:bottom w:val="none" w:sz="0" w:space="0" w:color="auto"/>
                    <w:right w:val="none" w:sz="0" w:space="0" w:color="auto"/>
                  </w:divBdr>
                  <w:divsChild>
                    <w:div w:id="1621647236">
                      <w:marLeft w:val="0"/>
                      <w:marRight w:val="0"/>
                      <w:marTop w:val="0"/>
                      <w:marBottom w:val="0"/>
                      <w:divBdr>
                        <w:top w:val="none" w:sz="0" w:space="0" w:color="auto"/>
                        <w:left w:val="none" w:sz="0" w:space="0" w:color="auto"/>
                        <w:bottom w:val="none" w:sz="0" w:space="0" w:color="auto"/>
                        <w:right w:val="none" w:sz="0" w:space="0" w:color="auto"/>
                      </w:divBdr>
                    </w:div>
                    <w:div w:id="196878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490710">
      <w:bodyDiv w:val="1"/>
      <w:marLeft w:val="0"/>
      <w:marRight w:val="0"/>
      <w:marTop w:val="0"/>
      <w:marBottom w:val="0"/>
      <w:divBdr>
        <w:top w:val="none" w:sz="0" w:space="0" w:color="auto"/>
        <w:left w:val="none" w:sz="0" w:space="0" w:color="auto"/>
        <w:bottom w:val="none" w:sz="0" w:space="0" w:color="auto"/>
        <w:right w:val="none" w:sz="0" w:space="0" w:color="auto"/>
      </w:divBdr>
    </w:div>
    <w:div w:id="1286737960">
      <w:bodyDiv w:val="1"/>
      <w:marLeft w:val="0"/>
      <w:marRight w:val="0"/>
      <w:marTop w:val="0"/>
      <w:marBottom w:val="0"/>
      <w:divBdr>
        <w:top w:val="none" w:sz="0" w:space="0" w:color="auto"/>
        <w:left w:val="none" w:sz="0" w:space="0" w:color="auto"/>
        <w:bottom w:val="none" w:sz="0" w:space="0" w:color="auto"/>
        <w:right w:val="none" w:sz="0" w:space="0" w:color="auto"/>
      </w:divBdr>
      <w:divsChild>
        <w:div w:id="1824542574">
          <w:marLeft w:val="547"/>
          <w:marRight w:val="0"/>
          <w:marTop w:val="200"/>
          <w:marBottom w:val="0"/>
          <w:divBdr>
            <w:top w:val="none" w:sz="0" w:space="0" w:color="auto"/>
            <w:left w:val="none" w:sz="0" w:space="0" w:color="auto"/>
            <w:bottom w:val="none" w:sz="0" w:space="0" w:color="auto"/>
            <w:right w:val="none" w:sz="0" w:space="0" w:color="auto"/>
          </w:divBdr>
        </w:div>
        <w:div w:id="716470340">
          <w:marLeft w:val="547"/>
          <w:marRight w:val="0"/>
          <w:marTop w:val="200"/>
          <w:marBottom w:val="0"/>
          <w:divBdr>
            <w:top w:val="none" w:sz="0" w:space="0" w:color="auto"/>
            <w:left w:val="none" w:sz="0" w:space="0" w:color="auto"/>
            <w:bottom w:val="none" w:sz="0" w:space="0" w:color="auto"/>
            <w:right w:val="none" w:sz="0" w:space="0" w:color="auto"/>
          </w:divBdr>
        </w:div>
        <w:div w:id="1009675133">
          <w:marLeft w:val="547"/>
          <w:marRight w:val="0"/>
          <w:marTop w:val="200"/>
          <w:marBottom w:val="0"/>
          <w:divBdr>
            <w:top w:val="none" w:sz="0" w:space="0" w:color="auto"/>
            <w:left w:val="none" w:sz="0" w:space="0" w:color="auto"/>
            <w:bottom w:val="none" w:sz="0" w:space="0" w:color="auto"/>
            <w:right w:val="none" w:sz="0" w:space="0" w:color="auto"/>
          </w:divBdr>
        </w:div>
      </w:divsChild>
    </w:div>
    <w:div w:id="1362827018">
      <w:bodyDiv w:val="1"/>
      <w:marLeft w:val="0"/>
      <w:marRight w:val="0"/>
      <w:marTop w:val="0"/>
      <w:marBottom w:val="0"/>
      <w:divBdr>
        <w:top w:val="none" w:sz="0" w:space="0" w:color="auto"/>
        <w:left w:val="none" w:sz="0" w:space="0" w:color="auto"/>
        <w:bottom w:val="none" w:sz="0" w:space="0" w:color="auto"/>
        <w:right w:val="none" w:sz="0" w:space="0" w:color="auto"/>
      </w:divBdr>
    </w:div>
    <w:div w:id="1364093897">
      <w:bodyDiv w:val="1"/>
      <w:marLeft w:val="0"/>
      <w:marRight w:val="0"/>
      <w:marTop w:val="0"/>
      <w:marBottom w:val="0"/>
      <w:divBdr>
        <w:top w:val="none" w:sz="0" w:space="0" w:color="auto"/>
        <w:left w:val="none" w:sz="0" w:space="0" w:color="auto"/>
        <w:bottom w:val="none" w:sz="0" w:space="0" w:color="auto"/>
        <w:right w:val="none" w:sz="0" w:space="0" w:color="auto"/>
      </w:divBdr>
    </w:div>
    <w:div w:id="1373579103">
      <w:bodyDiv w:val="1"/>
      <w:marLeft w:val="0"/>
      <w:marRight w:val="0"/>
      <w:marTop w:val="0"/>
      <w:marBottom w:val="0"/>
      <w:divBdr>
        <w:top w:val="none" w:sz="0" w:space="0" w:color="auto"/>
        <w:left w:val="none" w:sz="0" w:space="0" w:color="auto"/>
        <w:bottom w:val="none" w:sz="0" w:space="0" w:color="auto"/>
        <w:right w:val="none" w:sz="0" w:space="0" w:color="auto"/>
      </w:divBdr>
    </w:div>
    <w:div w:id="1374890836">
      <w:bodyDiv w:val="1"/>
      <w:marLeft w:val="0"/>
      <w:marRight w:val="0"/>
      <w:marTop w:val="0"/>
      <w:marBottom w:val="0"/>
      <w:divBdr>
        <w:top w:val="none" w:sz="0" w:space="0" w:color="auto"/>
        <w:left w:val="none" w:sz="0" w:space="0" w:color="auto"/>
        <w:bottom w:val="none" w:sz="0" w:space="0" w:color="auto"/>
        <w:right w:val="none" w:sz="0" w:space="0" w:color="auto"/>
      </w:divBdr>
    </w:div>
    <w:div w:id="1406759968">
      <w:bodyDiv w:val="1"/>
      <w:marLeft w:val="0"/>
      <w:marRight w:val="0"/>
      <w:marTop w:val="0"/>
      <w:marBottom w:val="0"/>
      <w:divBdr>
        <w:top w:val="none" w:sz="0" w:space="0" w:color="auto"/>
        <w:left w:val="none" w:sz="0" w:space="0" w:color="auto"/>
        <w:bottom w:val="none" w:sz="0" w:space="0" w:color="auto"/>
        <w:right w:val="none" w:sz="0" w:space="0" w:color="auto"/>
      </w:divBdr>
      <w:divsChild>
        <w:div w:id="1607812603">
          <w:marLeft w:val="547"/>
          <w:marRight w:val="0"/>
          <w:marTop w:val="200"/>
          <w:marBottom w:val="0"/>
          <w:divBdr>
            <w:top w:val="none" w:sz="0" w:space="0" w:color="auto"/>
            <w:left w:val="none" w:sz="0" w:space="0" w:color="auto"/>
            <w:bottom w:val="none" w:sz="0" w:space="0" w:color="auto"/>
            <w:right w:val="none" w:sz="0" w:space="0" w:color="auto"/>
          </w:divBdr>
        </w:div>
        <w:div w:id="1486244727">
          <w:marLeft w:val="547"/>
          <w:marRight w:val="0"/>
          <w:marTop w:val="200"/>
          <w:marBottom w:val="0"/>
          <w:divBdr>
            <w:top w:val="none" w:sz="0" w:space="0" w:color="auto"/>
            <w:left w:val="none" w:sz="0" w:space="0" w:color="auto"/>
            <w:bottom w:val="none" w:sz="0" w:space="0" w:color="auto"/>
            <w:right w:val="none" w:sz="0" w:space="0" w:color="auto"/>
          </w:divBdr>
        </w:div>
        <w:div w:id="1053895287">
          <w:marLeft w:val="547"/>
          <w:marRight w:val="0"/>
          <w:marTop w:val="200"/>
          <w:marBottom w:val="0"/>
          <w:divBdr>
            <w:top w:val="none" w:sz="0" w:space="0" w:color="auto"/>
            <w:left w:val="none" w:sz="0" w:space="0" w:color="auto"/>
            <w:bottom w:val="none" w:sz="0" w:space="0" w:color="auto"/>
            <w:right w:val="none" w:sz="0" w:space="0" w:color="auto"/>
          </w:divBdr>
        </w:div>
        <w:div w:id="1940066905">
          <w:marLeft w:val="547"/>
          <w:marRight w:val="0"/>
          <w:marTop w:val="200"/>
          <w:marBottom w:val="0"/>
          <w:divBdr>
            <w:top w:val="none" w:sz="0" w:space="0" w:color="auto"/>
            <w:left w:val="none" w:sz="0" w:space="0" w:color="auto"/>
            <w:bottom w:val="none" w:sz="0" w:space="0" w:color="auto"/>
            <w:right w:val="none" w:sz="0" w:space="0" w:color="auto"/>
          </w:divBdr>
        </w:div>
        <w:div w:id="2127193227">
          <w:marLeft w:val="547"/>
          <w:marRight w:val="0"/>
          <w:marTop w:val="200"/>
          <w:marBottom w:val="0"/>
          <w:divBdr>
            <w:top w:val="none" w:sz="0" w:space="0" w:color="auto"/>
            <w:left w:val="none" w:sz="0" w:space="0" w:color="auto"/>
            <w:bottom w:val="none" w:sz="0" w:space="0" w:color="auto"/>
            <w:right w:val="none" w:sz="0" w:space="0" w:color="auto"/>
          </w:divBdr>
        </w:div>
      </w:divsChild>
    </w:div>
    <w:div w:id="1435437792">
      <w:bodyDiv w:val="1"/>
      <w:marLeft w:val="0"/>
      <w:marRight w:val="0"/>
      <w:marTop w:val="0"/>
      <w:marBottom w:val="0"/>
      <w:divBdr>
        <w:top w:val="none" w:sz="0" w:space="0" w:color="auto"/>
        <w:left w:val="none" w:sz="0" w:space="0" w:color="auto"/>
        <w:bottom w:val="none" w:sz="0" w:space="0" w:color="auto"/>
        <w:right w:val="none" w:sz="0" w:space="0" w:color="auto"/>
      </w:divBdr>
    </w:div>
    <w:div w:id="1456561630">
      <w:bodyDiv w:val="1"/>
      <w:marLeft w:val="0"/>
      <w:marRight w:val="0"/>
      <w:marTop w:val="0"/>
      <w:marBottom w:val="0"/>
      <w:divBdr>
        <w:top w:val="none" w:sz="0" w:space="0" w:color="auto"/>
        <w:left w:val="none" w:sz="0" w:space="0" w:color="auto"/>
        <w:bottom w:val="none" w:sz="0" w:space="0" w:color="auto"/>
        <w:right w:val="none" w:sz="0" w:space="0" w:color="auto"/>
      </w:divBdr>
    </w:div>
    <w:div w:id="1461066796">
      <w:bodyDiv w:val="1"/>
      <w:marLeft w:val="0"/>
      <w:marRight w:val="0"/>
      <w:marTop w:val="0"/>
      <w:marBottom w:val="0"/>
      <w:divBdr>
        <w:top w:val="none" w:sz="0" w:space="0" w:color="auto"/>
        <w:left w:val="none" w:sz="0" w:space="0" w:color="auto"/>
        <w:bottom w:val="none" w:sz="0" w:space="0" w:color="auto"/>
        <w:right w:val="none" w:sz="0" w:space="0" w:color="auto"/>
      </w:divBdr>
    </w:div>
    <w:div w:id="1473643616">
      <w:bodyDiv w:val="1"/>
      <w:marLeft w:val="0"/>
      <w:marRight w:val="0"/>
      <w:marTop w:val="0"/>
      <w:marBottom w:val="0"/>
      <w:divBdr>
        <w:top w:val="none" w:sz="0" w:space="0" w:color="auto"/>
        <w:left w:val="none" w:sz="0" w:space="0" w:color="auto"/>
        <w:bottom w:val="none" w:sz="0" w:space="0" w:color="auto"/>
        <w:right w:val="none" w:sz="0" w:space="0" w:color="auto"/>
      </w:divBdr>
    </w:div>
    <w:div w:id="1488015228">
      <w:bodyDiv w:val="1"/>
      <w:marLeft w:val="0"/>
      <w:marRight w:val="0"/>
      <w:marTop w:val="0"/>
      <w:marBottom w:val="0"/>
      <w:divBdr>
        <w:top w:val="none" w:sz="0" w:space="0" w:color="auto"/>
        <w:left w:val="none" w:sz="0" w:space="0" w:color="auto"/>
        <w:bottom w:val="none" w:sz="0" w:space="0" w:color="auto"/>
        <w:right w:val="none" w:sz="0" w:space="0" w:color="auto"/>
      </w:divBdr>
    </w:div>
    <w:div w:id="1520007907">
      <w:bodyDiv w:val="1"/>
      <w:marLeft w:val="0"/>
      <w:marRight w:val="0"/>
      <w:marTop w:val="0"/>
      <w:marBottom w:val="0"/>
      <w:divBdr>
        <w:top w:val="none" w:sz="0" w:space="0" w:color="auto"/>
        <w:left w:val="none" w:sz="0" w:space="0" w:color="auto"/>
        <w:bottom w:val="none" w:sz="0" w:space="0" w:color="auto"/>
        <w:right w:val="none" w:sz="0" w:space="0" w:color="auto"/>
      </w:divBdr>
    </w:div>
    <w:div w:id="1554657475">
      <w:bodyDiv w:val="1"/>
      <w:marLeft w:val="0"/>
      <w:marRight w:val="0"/>
      <w:marTop w:val="0"/>
      <w:marBottom w:val="0"/>
      <w:divBdr>
        <w:top w:val="none" w:sz="0" w:space="0" w:color="auto"/>
        <w:left w:val="none" w:sz="0" w:space="0" w:color="auto"/>
        <w:bottom w:val="none" w:sz="0" w:space="0" w:color="auto"/>
        <w:right w:val="none" w:sz="0" w:space="0" w:color="auto"/>
      </w:divBdr>
      <w:divsChild>
        <w:div w:id="1649433238">
          <w:marLeft w:val="547"/>
          <w:marRight w:val="0"/>
          <w:marTop w:val="200"/>
          <w:marBottom w:val="0"/>
          <w:divBdr>
            <w:top w:val="none" w:sz="0" w:space="0" w:color="auto"/>
            <w:left w:val="none" w:sz="0" w:space="0" w:color="auto"/>
            <w:bottom w:val="none" w:sz="0" w:space="0" w:color="auto"/>
            <w:right w:val="none" w:sz="0" w:space="0" w:color="auto"/>
          </w:divBdr>
        </w:div>
      </w:divsChild>
    </w:div>
    <w:div w:id="1574655866">
      <w:bodyDiv w:val="1"/>
      <w:marLeft w:val="0"/>
      <w:marRight w:val="0"/>
      <w:marTop w:val="0"/>
      <w:marBottom w:val="0"/>
      <w:divBdr>
        <w:top w:val="none" w:sz="0" w:space="0" w:color="auto"/>
        <w:left w:val="none" w:sz="0" w:space="0" w:color="auto"/>
        <w:bottom w:val="none" w:sz="0" w:space="0" w:color="auto"/>
        <w:right w:val="none" w:sz="0" w:space="0" w:color="auto"/>
      </w:divBdr>
    </w:div>
    <w:div w:id="1582106073">
      <w:bodyDiv w:val="1"/>
      <w:marLeft w:val="0"/>
      <w:marRight w:val="0"/>
      <w:marTop w:val="0"/>
      <w:marBottom w:val="0"/>
      <w:divBdr>
        <w:top w:val="none" w:sz="0" w:space="0" w:color="auto"/>
        <w:left w:val="none" w:sz="0" w:space="0" w:color="auto"/>
        <w:bottom w:val="none" w:sz="0" w:space="0" w:color="auto"/>
        <w:right w:val="none" w:sz="0" w:space="0" w:color="auto"/>
      </w:divBdr>
    </w:div>
    <w:div w:id="1634019688">
      <w:bodyDiv w:val="1"/>
      <w:marLeft w:val="0"/>
      <w:marRight w:val="0"/>
      <w:marTop w:val="0"/>
      <w:marBottom w:val="0"/>
      <w:divBdr>
        <w:top w:val="none" w:sz="0" w:space="0" w:color="auto"/>
        <w:left w:val="none" w:sz="0" w:space="0" w:color="auto"/>
        <w:bottom w:val="none" w:sz="0" w:space="0" w:color="auto"/>
        <w:right w:val="none" w:sz="0" w:space="0" w:color="auto"/>
      </w:divBdr>
    </w:div>
    <w:div w:id="1691301103">
      <w:bodyDiv w:val="1"/>
      <w:marLeft w:val="0"/>
      <w:marRight w:val="0"/>
      <w:marTop w:val="0"/>
      <w:marBottom w:val="0"/>
      <w:divBdr>
        <w:top w:val="none" w:sz="0" w:space="0" w:color="auto"/>
        <w:left w:val="none" w:sz="0" w:space="0" w:color="auto"/>
        <w:bottom w:val="none" w:sz="0" w:space="0" w:color="auto"/>
        <w:right w:val="none" w:sz="0" w:space="0" w:color="auto"/>
      </w:divBdr>
    </w:div>
    <w:div w:id="1783959572">
      <w:bodyDiv w:val="1"/>
      <w:marLeft w:val="0"/>
      <w:marRight w:val="0"/>
      <w:marTop w:val="0"/>
      <w:marBottom w:val="0"/>
      <w:divBdr>
        <w:top w:val="none" w:sz="0" w:space="0" w:color="auto"/>
        <w:left w:val="none" w:sz="0" w:space="0" w:color="auto"/>
        <w:bottom w:val="none" w:sz="0" w:space="0" w:color="auto"/>
        <w:right w:val="none" w:sz="0" w:space="0" w:color="auto"/>
      </w:divBdr>
      <w:divsChild>
        <w:div w:id="431630785">
          <w:blockQuote w:val="1"/>
          <w:marLeft w:val="0"/>
          <w:marRight w:val="0"/>
          <w:marTop w:val="0"/>
          <w:marBottom w:val="375"/>
          <w:divBdr>
            <w:top w:val="single" w:sz="2" w:space="0" w:color="1A1A1A"/>
            <w:left w:val="single" w:sz="24" w:space="26" w:color="1A1A1A"/>
            <w:bottom w:val="single" w:sz="2" w:space="0" w:color="1A1A1A"/>
            <w:right w:val="single" w:sz="2" w:space="0" w:color="1A1A1A"/>
          </w:divBdr>
        </w:div>
      </w:divsChild>
    </w:div>
    <w:div w:id="1788037420">
      <w:bodyDiv w:val="1"/>
      <w:marLeft w:val="0"/>
      <w:marRight w:val="0"/>
      <w:marTop w:val="0"/>
      <w:marBottom w:val="0"/>
      <w:divBdr>
        <w:top w:val="none" w:sz="0" w:space="0" w:color="auto"/>
        <w:left w:val="none" w:sz="0" w:space="0" w:color="auto"/>
        <w:bottom w:val="none" w:sz="0" w:space="0" w:color="auto"/>
        <w:right w:val="none" w:sz="0" w:space="0" w:color="auto"/>
      </w:divBdr>
    </w:div>
    <w:div w:id="1854801697">
      <w:bodyDiv w:val="1"/>
      <w:marLeft w:val="0"/>
      <w:marRight w:val="0"/>
      <w:marTop w:val="0"/>
      <w:marBottom w:val="0"/>
      <w:divBdr>
        <w:top w:val="none" w:sz="0" w:space="0" w:color="auto"/>
        <w:left w:val="none" w:sz="0" w:space="0" w:color="auto"/>
        <w:bottom w:val="none" w:sz="0" w:space="0" w:color="auto"/>
        <w:right w:val="none" w:sz="0" w:space="0" w:color="auto"/>
      </w:divBdr>
    </w:div>
    <w:div w:id="1931814106">
      <w:bodyDiv w:val="1"/>
      <w:marLeft w:val="0"/>
      <w:marRight w:val="0"/>
      <w:marTop w:val="0"/>
      <w:marBottom w:val="0"/>
      <w:divBdr>
        <w:top w:val="none" w:sz="0" w:space="0" w:color="auto"/>
        <w:left w:val="none" w:sz="0" w:space="0" w:color="auto"/>
        <w:bottom w:val="none" w:sz="0" w:space="0" w:color="auto"/>
        <w:right w:val="none" w:sz="0" w:space="0" w:color="auto"/>
      </w:divBdr>
    </w:div>
    <w:div w:id="1946644509">
      <w:bodyDiv w:val="1"/>
      <w:marLeft w:val="0"/>
      <w:marRight w:val="0"/>
      <w:marTop w:val="0"/>
      <w:marBottom w:val="0"/>
      <w:divBdr>
        <w:top w:val="none" w:sz="0" w:space="0" w:color="auto"/>
        <w:left w:val="none" w:sz="0" w:space="0" w:color="auto"/>
        <w:bottom w:val="none" w:sz="0" w:space="0" w:color="auto"/>
        <w:right w:val="none" w:sz="0" w:space="0" w:color="auto"/>
      </w:divBdr>
      <w:divsChild>
        <w:div w:id="4016873">
          <w:marLeft w:val="547"/>
          <w:marRight w:val="0"/>
          <w:marTop w:val="200"/>
          <w:marBottom w:val="0"/>
          <w:divBdr>
            <w:top w:val="none" w:sz="0" w:space="0" w:color="auto"/>
            <w:left w:val="none" w:sz="0" w:space="0" w:color="auto"/>
            <w:bottom w:val="none" w:sz="0" w:space="0" w:color="auto"/>
            <w:right w:val="none" w:sz="0" w:space="0" w:color="auto"/>
          </w:divBdr>
        </w:div>
      </w:divsChild>
    </w:div>
    <w:div w:id="2007829077">
      <w:bodyDiv w:val="1"/>
      <w:marLeft w:val="0"/>
      <w:marRight w:val="0"/>
      <w:marTop w:val="0"/>
      <w:marBottom w:val="0"/>
      <w:divBdr>
        <w:top w:val="none" w:sz="0" w:space="0" w:color="auto"/>
        <w:left w:val="none" w:sz="0" w:space="0" w:color="auto"/>
        <w:bottom w:val="none" w:sz="0" w:space="0" w:color="auto"/>
        <w:right w:val="none" w:sz="0" w:space="0" w:color="auto"/>
      </w:divBdr>
    </w:div>
    <w:div w:id="2083982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g.com/uk/shares/markets-shares/christian-dior-sa-CDI-FR" TargetMode="External"/><Relationship Id="rId21" Type="http://schemas.openxmlformats.org/officeDocument/2006/relationships/hyperlink" Target="https://www.ig.com/uk/shares/markets-shares/barclays-plc-BARC-UK" TargetMode="External"/><Relationship Id="rId42" Type="http://schemas.openxmlformats.org/officeDocument/2006/relationships/hyperlink" Target="https://en.wikipedia.org/wiki/Dual-listed_company" TargetMode="External"/><Relationship Id="rId47" Type="http://schemas.openxmlformats.org/officeDocument/2006/relationships/hyperlink" Target="https://en.wikipedia.org/wiki/Enbridge" TargetMode="External"/><Relationship Id="rId63" Type="http://schemas.openxmlformats.org/officeDocument/2006/relationships/hyperlink" Target="https://efinancemanagement.com/sources-of-finance/bonds-and-their-types" TargetMode="External"/><Relationship Id="rId68" Type="http://schemas.openxmlformats.org/officeDocument/2006/relationships/image" Target="media/image2.jpeg"/><Relationship Id="rId7" Type="http://schemas.openxmlformats.org/officeDocument/2006/relationships/hyperlink" Target="https://www.ig.com/uk/shares/markets-shares/pfizer-inc-PFE-US"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ig.com/uk/shares/markets-shares/sony-corp-6758-JP" TargetMode="External"/><Relationship Id="rId29" Type="http://schemas.openxmlformats.org/officeDocument/2006/relationships/hyperlink" Target="https://www.ig.com/uk/shares/markets-shares/suncor-energy-inc-SU-US" TargetMode="External"/><Relationship Id="rId11" Type="http://schemas.openxmlformats.org/officeDocument/2006/relationships/hyperlink" Target="https://www.ig.com/uk/shares/markets-shares/microsoft-corp-MSFT-US" TargetMode="External"/><Relationship Id="rId24" Type="http://schemas.openxmlformats.org/officeDocument/2006/relationships/hyperlink" Target="https://www.ig.com/uk/indices/markets-indices/ftse-250" TargetMode="External"/><Relationship Id="rId32" Type="http://schemas.openxmlformats.org/officeDocument/2006/relationships/hyperlink" Target="https://www.ig.com/uk/shares/markets-shares/eon-ag-EOA-DE" TargetMode="External"/><Relationship Id="rId37" Type="http://schemas.openxmlformats.org/officeDocument/2006/relationships/hyperlink" Target="https://www.investopedia.com/terms/e/etf.asp" TargetMode="External"/><Relationship Id="rId40" Type="http://schemas.openxmlformats.org/officeDocument/2006/relationships/hyperlink" Target="https://en.wikipedia.org/wiki/Stock" TargetMode="External"/><Relationship Id="rId45" Type="http://schemas.openxmlformats.org/officeDocument/2006/relationships/hyperlink" Target="https://en.wikipedia.org/wiki/NASDAQ" TargetMode="External"/><Relationship Id="rId53" Type="http://schemas.openxmlformats.org/officeDocument/2006/relationships/hyperlink" Target="https://en.wikipedia.org/wiki/Disclosure_requirement" TargetMode="External"/><Relationship Id="rId58" Type="http://schemas.openxmlformats.org/officeDocument/2006/relationships/hyperlink" Target="https://en.wikipedia.org/wiki/NYSE" TargetMode="External"/><Relationship Id="rId66" Type="http://schemas.openxmlformats.org/officeDocument/2006/relationships/hyperlink" Target="https://efinancemanagement.com/international-financial-management/institutional-investors" TargetMode="External"/><Relationship Id="rId5" Type="http://schemas.openxmlformats.org/officeDocument/2006/relationships/hyperlink" Target="https://www.ig.com/uk/shares/markets-shares/exxon-mobil-corp-XOM-US" TargetMode="External"/><Relationship Id="rId61" Type="http://schemas.openxmlformats.org/officeDocument/2006/relationships/hyperlink" Target="https://corporatefinanceinstitute.com/resources/careers/jobs/board-of-directors/" TargetMode="External"/><Relationship Id="rId19" Type="http://schemas.openxmlformats.org/officeDocument/2006/relationships/hyperlink" Target="https://www.ig.com/uk/shares/markets-shares/london-stock-exchange-plc-LSE-UK" TargetMode="External"/><Relationship Id="rId14" Type="http://schemas.openxmlformats.org/officeDocument/2006/relationships/hyperlink" Target="https://www.ig.com/uk/shares/markets-shares/honda-motor-co-ltd-7267-JP" TargetMode="External"/><Relationship Id="rId22" Type="http://schemas.openxmlformats.org/officeDocument/2006/relationships/hyperlink" Target="https://www.ig.com/uk/shares/markets-shares/bp-plc-BP-UK" TargetMode="External"/><Relationship Id="rId27" Type="http://schemas.openxmlformats.org/officeDocument/2006/relationships/hyperlink" Target="https://www.ig.com/uk/shares/markets-shares/renault-sa-RENA-FR" TargetMode="External"/><Relationship Id="rId30" Type="http://schemas.openxmlformats.org/officeDocument/2006/relationships/hyperlink" Target="https://www.ig.com/uk/shares/markets-shares/adidas-ag" TargetMode="External"/><Relationship Id="rId35" Type="http://schemas.openxmlformats.org/officeDocument/2006/relationships/hyperlink" Target="https://www.investopedia.com/terms/e/equitymarket.asp" TargetMode="External"/><Relationship Id="rId43" Type="http://schemas.openxmlformats.org/officeDocument/2006/relationships/hyperlink" Target="https://en.wikipedia.org/wiki/Depositary_receipt" TargetMode="External"/><Relationship Id="rId48" Type="http://schemas.openxmlformats.org/officeDocument/2006/relationships/hyperlink" Target="https://en.wikipedia.org/wiki/Equinor" TargetMode="External"/><Relationship Id="rId56" Type="http://schemas.openxmlformats.org/officeDocument/2006/relationships/hyperlink" Target="https://en.wikipedia.org/wiki/Accounting" TargetMode="External"/><Relationship Id="rId64" Type="http://schemas.openxmlformats.org/officeDocument/2006/relationships/hyperlink" Target="https://efinancemanagement.com/sources-of-finance/equity-share-and-its-types" TargetMode="External"/><Relationship Id="rId69" Type="http://schemas.openxmlformats.org/officeDocument/2006/relationships/image" Target="media/image3.png"/><Relationship Id="rId8" Type="http://schemas.openxmlformats.org/officeDocument/2006/relationships/hyperlink" Target="https://www.ig.com/uk/indices/markets-indices/wall-street" TargetMode="External"/><Relationship Id="rId51" Type="http://schemas.openxmlformats.org/officeDocument/2006/relationships/hyperlink" Target="https://en.wikipedia.org/wiki/Toyota"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www.ig.com/uk/shares/markets-shares/facebook-inc-FB-US" TargetMode="External"/><Relationship Id="rId17" Type="http://schemas.openxmlformats.org/officeDocument/2006/relationships/hyperlink" Target="https://www.ig.com/uk/shares/markets-shares/aia-group-ltd-1299-HK" TargetMode="External"/><Relationship Id="rId25" Type="http://schemas.openxmlformats.org/officeDocument/2006/relationships/hyperlink" Target="https://www.ig.com/uk/shares/markets-shares/axa-sa-CS-FR" TargetMode="External"/><Relationship Id="rId33" Type="http://schemas.openxmlformats.org/officeDocument/2006/relationships/hyperlink" Target="https://www.investopedia.com/terms/f/financial-system.asp" TargetMode="External"/><Relationship Id="rId38" Type="http://schemas.openxmlformats.org/officeDocument/2006/relationships/hyperlink" Target="https://www.investopedia.com/terms/l/large-cap.asp" TargetMode="External"/><Relationship Id="rId46" Type="http://schemas.openxmlformats.org/officeDocument/2006/relationships/hyperlink" Target="https://en.wikipedia.org/wiki/BlackBerry_Limited" TargetMode="External"/><Relationship Id="rId59" Type="http://schemas.openxmlformats.org/officeDocument/2006/relationships/hyperlink" Target="https://corporatefinanceinstitute.com/resources/knowledge/finance/public-companies/" TargetMode="External"/><Relationship Id="rId67" Type="http://schemas.openxmlformats.org/officeDocument/2006/relationships/hyperlink" Target="https://efinancemanagement.com/sources-of-finance/shareholders-vs-stakeholders" TargetMode="External"/><Relationship Id="rId20" Type="http://schemas.openxmlformats.org/officeDocument/2006/relationships/hyperlink" Target="https://www.ig.com/uk/indices/markets-indices/ftse-100" TargetMode="External"/><Relationship Id="rId41" Type="http://schemas.openxmlformats.org/officeDocument/2006/relationships/hyperlink" Target="https://en.wikipedia.org/wiki/Stock_exchange" TargetMode="External"/><Relationship Id="rId54" Type="http://schemas.openxmlformats.org/officeDocument/2006/relationships/hyperlink" Target="https://en.wikipedia.org/wiki/US_GAAP" TargetMode="External"/><Relationship Id="rId62" Type="http://schemas.openxmlformats.org/officeDocument/2006/relationships/hyperlink" Target="https://www.globalexchange.es/en/currencies-of-the-world/british-pound" TargetMode="External"/><Relationship Id="rId70" Type="http://schemas.openxmlformats.org/officeDocument/2006/relationships/hyperlink" Target="https://www.thehindubusinessline.com/profile/author/K--S--Badri-Narayanan-10007/" TargetMode="External"/><Relationship Id="rId1" Type="http://schemas.openxmlformats.org/officeDocument/2006/relationships/numbering" Target="numbering.xml"/><Relationship Id="rId6" Type="http://schemas.openxmlformats.org/officeDocument/2006/relationships/hyperlink" Target="https://www.ig.com/uk/shares/markets-shares/citigroup-inc6-C-US" TargetMode="External"/><Relationship Id="rId15" Type="http://schemas.openxmlformats.org/officeDocument/2006/relationships/hyperlink" Target="https://www.ig.com/uk/shares/markets-shares/toyota-motor-corp-7203-JP" TargetMode="External"/><Relationship Id="rId23" Type="http://schemas.openxmlformats.org/officeDocument/2006/relationships/hyperlink" Target="https://www.ig.com/uk/shares/markets-shares/glaxosmithkline-plc1-GSK-UK" TargetMode="External"/><Relationship Id="rId28" Type="http://schemas.openxmlformats.org/officeDocument/2006/relationships/hyperlink" Target="https://www.ig.com/uk/shares/markets-shares/royal-bank-of-canada-RY-CA" TargetMode="External"/><Relationship Id="rId36" Type="http://schemas.openxmlformats.org/officeDocument/2006/relationships/hyperlink" Target="https://www.investopedia.com/terms/f/fdi.asp" TargetMode="External"/><Relationship Id="rId49" Type="http://schemas.openxmlformats.org/officeDocument/2006/relationships/hyperlink" Target="https://en.wikipedia.org/wiki/Ericsson" TargetMode="External"/><Relationship Id="rId57" Type="http://schemas.openxmlformats.org/officeDocument/2006/relationships/hyperlink" Target="https://en.wikipedia.org/wiki/Sarbanes-Oxley" TargetMode="External"/><Relationship Id="rId10" Type="http://schemas.openxmlformats.org/officeDocument/2006/relationships/hyperlink" Target="https://www.ig.com/uk/shares/markets-shares/apple-inc-AAPL-US" TargetMode="External"/><Relationship Id="rId31" Type="http://schemas.openxmlformats.org/officeDocument/2006/relationships/hyperlink" Target="https://www.ig.com/uk/shares/markets-shares/bayerische-motoren-werke-ag-BMW-DE" TargetMode="External"/><Relationship Id="rId44" Type="http://schemas.openxmlformats.org/officeDocument/2006/relationships/hyperlink" Target="https://en.wikipedia.org/wiki/New_York_Stock_Exchange" TargetMode="External"/><Relationship Id="rId52" Type="http://schemas.openxmlformats.org/officeDocument/2006/relationships/hyperlink" Target="https://en.wikipedia.org/wiki/Sony" TargetMode="External"/><Relationship Id="rId60" Type="http://schemas.openxmlformats.org/officeDocument/2006/relationships/hyperlink" Target="https://corporatefinanceinstitute.com/resources/knowledge/credit/brokerage/" TargetMode="External"/><Relationship Id="rId6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www.ig.com/uk/indices/markets-indices/us-tech-100" TargetMode="External"/><Relationship Id="rId13" Type="http://schemas.openxmlformats.org/officeDocument/2006/relationships/hyperlink" Target="https://www.ig.com/uk/shares/markets-shares/tesla-motors-TSLA-US" TargetMode="External"/><Relationship Id="rId18" Type="http://schemas.openxmlformats.org/officeDocument/2006/relationships/hyperlink" Target="https://www.ig.com/uk/shares/markets-shares/hsbc-holdings-plc-hk-5-HK" TargetMode="External"/><Relationship Id="rId39" Type="http://schemas.openxmlformats.org/officeDocument/2006/relationships/hyperlink" Target="https://en.wikipedia.org/wiki/Shares" TargetMode="External"/><Relationship Id="rId34" Type="http://schemas.openxmlformats.org/officeDocument/2006/relationships/hyperlink" Target="https://www.investopedia.com/terms/l/liquidity.asp" TargetMode="External"/><Relationship Id="rId50" Type="http://schemas.openxmlformats.org/officeDocument/2006/relationships/hyperlink" Target="https://en.wikipedia.org/wiki/Nokia" TargetMode="External"/><Relationship Id="rId55" Type="http://schemas.openxmlformats.org/officeDocument/2006/relationships/hyperlink" Target="https://en.wikipedia.org/wiki/Stock_analy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26</Pages>
  <Words>6977</Words>
  <Characters>39773</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7</cp:revision>
  <dcterms:created xsi:type="dcterms:W3CDTF">2022-08-01T14:26:00Z</dcterms:created>
  <dcterms:modified xsi:type="dcterms:W3CDTF">2022-09-03T06:59:00Z</dcterms:modified>
</cp:coreProperties>
</file>