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9201E9" w14:textId="08444732" w:rsidR="00A27976" w:rsidRPr="000F082E" w:rsidRDefault="001F27EA">
      <w:pPr>
        <w:rPr>
          <w:rFonts w:cstheme="minorHAnsi"/>
          <w:sz w:val="32"/>
          <w:szCs w:val="32"/>
        </w:rPr>
      </w:pPr>
      <w:r>
        <w:rPr>
          <w:rFonts w:cstheme="minorHAnsi"/>
          <w:sz w:val="32"/>
          <w:szCs w:val="32"/>
        </w:rPr>
        <w:t xml:space="preserve">CHAPTER 1 - </w:t>
      </w:r>
      <w:r w:rsidR="00B16770" w:rsidRPr="000F082E">
        <w:rPr>
          <w:rFonts w:cstheme="minorHAnsi"/>
          <w:sz w:val="32"/>
          <w:szCs w:val="32"/>
        </w:rPr>
        <w:t>Primary Market</w:t>
      </w:r>
    </w:p>
    <w:p w14:paraId="7E1EDDBC" w14:textId="77777777" w:rsidR="00B16770" w:rsidRPr="00B16770" w:rsidRDefault="00B16770" w:rsidP="00B16770">
      <w:pPr>
        <w:shd w:val="clear" w:color="auto" w:fill="FFFFFF"/>
        <w:spacing w:after="240" w:line="360" w:lineRule="atLeast"/>
        <w:rPr>
          <w:rFonts w:eastAsia="Times New Roman" w:cstheme="minorHAnsi"/>
          <w:color w:val="444444"/>
          <w:sz w:val="32"/>
          <w:szCs w:val="32"/>
          <w:lang w:val="en-IN" w:eastAsia="en-IN"/>
        </w:rPr>
      </w:pPr>
      <w:r w:rsidRPr="00B16770">
        <w:rPr>
          <w:rFonts w:eastAsia="Times New Roman" w:cstheme="minorHAnsi"/>
          <w:color w:val="444444"/>
          <w:sz w:val="32"/>
          <w:szCs w:val="32"/>
          <w:lang w:val="en-IN" w:eastAsia="en-IN"/>
        </w:rPr>
        <w:t>A primary market is a marketplace where corporations imbibe a fresh issue of shares for being contributed by the public for soliciting capital to meet their necessary long-term funds like extending the current trade or buying a unique entity. It plays a motivational part in the mobilisation of savings in the economy.</w:t>
      </w:r>
    </w:p>
    <w:p w14:paraId="11EDC67A" w14:textId="77777777" w:rsidR="00B16770" w:rsidRPr="00B16770" w:rsidRDefault="00B16770" w:rsidP="00B16770">
      <w:pPr>
        <w:shd w:val="clear" w:color="auto" w:fill="FFFFFF"/>
        <w:spacing w:after="0" w:line="0" w:lineRule="auto"/>
        <w:rPr>
          <w:rFonts w:eastAsia="Times New Roman" w:cstheme="minorHAnsi"/>
          <w:color w:val="000000"/>
          <w:sz w:val="32"/>
          <w:szCs w:val="32"/>
          <w:lang w:val="en-IN" w:eastAsia="en-IN"/>
        </w:rPr>
      </w:pPr>
      <w:r w:rsidRPr="00B16770">
        <w:rPr>
          <w:rFonts w:eastAsia="Times New Roman" w:cstheme="minorHAnsi"/>
          <w:color w:val="000000"/>
          <w:sz w:val="32"/>
          <w:szCs w:val="32"/>
          <w:lang w:val="en-IN" w:eastAsia="en-IN"/>
        </w:rPr>
        <w:t xml:space="preserve">Features of New Issue Market </w:t>
      </w:r>
    </w:p>
    <w:p w14:paraId="69E3EEF7" w14:textId="77777777" w:rsidR="00B16770" w:rsidRPr="00B16770" w:rsidRDefault="00B16770" w:rsidP="00B16770">
      <w:pPr>
        <w:shd w:val="clear" w:color="auto" w:fill="FFFFFF"/>
        <w:spacing w:after="0" w:line="0" w:lineRule="auto"/>
        <w:rPr>
          <w:rFonts w:eastAsia="Times New Roman" w:cstheme="minorHAnsi"/>
          <w:color w:val="000000"/>
          <w:sz w:val="32"/>
          <w:szCs w:val="32"/>
          <w:lang w:val="en-IN" w:eastAsia="en-IN"/>
        </w:rPr>
      </w:pPr>
      <w:r w:rsidRPr="00B16770">
        <w:rPr>
          <w:rFonts w:eastAsia="Times New Roman" w:cstheme="minorHAnsi"/>
          <w:color w:val="000000"/>
          <w:sz w:val="32"/>
          <w:szCs w:val="32"/>
          <w:lang w:val="en-IN" w:eastAsia="en-IN"/>
        </w:rPr>
        <w:t xml:space="preserve"> </w:t>
      </w:r>
    </w:p>
    <w:p w14:paraId="68535FDB" w14:textId="77777777" w:rsidR="00B16770" w:rsidRPr="00B16770" w:rsidRDefault="00B16770" w:rsidP="00B16770">
      <w:pPr>
        <w:shd w:val="clear" w:color="auto" w:fill="FFFFFF"/>
        <w:spacing w:after="0" w:line="0" w:lineRule="auto"/>
        <w:rPr>
          <w:rFonts w:eastAsia="Times New Roman" w:cstheme="minorHAnsi"/>
          <w:color w:val="000000"/>
          <w:sz w:val="32"/>
          <w:szCs w:val="32"/>
          <w:lang w:val="en-IN" w:eastAsia="en-IN"/>
        </w:rPr>
      </w:pPr>
      <w:r w:rsidRPr="00B16770">
        <w:rPr>
          <w:rFonts w:eastAsia="Times New Roman" w:cstheme="minorHAnsi"/>
          <w:color w:val="000000"/>
          <w:sz w:val="32"/>
          <w:szCs w:val="32"/>
          <w:lang w:val="en-IN" w:eastAsia="en-IN"/>
        </w:rPr>
        <w:t xml:space="preserve">Primary Market </w:t>
      </w:r>
    </w:p>
    <w:p w14:paraId="61914480" w14:textId="77777777" w:rsidR="00B16770" w:rsidRPr="00B16770" w:rsidRDefault="00B16770" w:rsidP="00B16770">
      <w:pPr>
        <w:shd w:val="clear" w:color="auto" w:fill="FFFFFF"/>
        <w:spacing w:after="0" w:line="0" w:lineRule="auto"/>
        <w:rPr>
          <w:rFonts w:eastAsia="Times New Roman" w:cstheme="minorHAnsi"/>
          <w:color w:val="000000"/>
          <w:sz w:val="32"/>
          <w:szCs w:val="32"/>
          <w:lang w:val="en-IN" w:eastAsia="en-IN"/>
        </w:rPr>
      </w:pPr>
      <w:r w:rsidRPr="00B16770">
        <w:rPr>
          <w:rFonts w:eastAsia="Times New Roman" w:cstheme="minorHAnsi"/>
          <w:color w:val="000000"/>
          <w:sz w:val="32"/>
          <w:szCs w:val="32"/>
          <w:lang w:val="en-IN" w:eastAsia="en-IN"/>
        </w:rPr>
        <w:t>1.</w:t>
      </w:r>
      <w:r w:rsidRPr="00B16770">
        <w:rPr>
          <w:rFonts w:eastAsia="Times New Roman" w:cstheme="minorHAnsi"/>
          <w:color w:val="000000"/>
          <w:spacing w:val="212"/>
          <w:sz w:val="32"/>
          <w:szCs w:val="32"/>
          <w:lang w:val="en-IN" w:eastAsia="en-IN"/>
        </w:rPr>
        <w:t xml:space="preserve"> </w:t>
      </w:r>
      <w:r w:rsidRPr="00B16770">
        <w:rPr>
          <w:rFonts w:eastAsia="Times New Roman" w:cstheme="minorHAnsi"/>
          <w:color w:val="000000"/>
          <w:sz w:val="32"/>
          <w:szCs w:val="32"/>
          <w:lang w:val="en-IN" w:eastAsia="en-IN"/>
        </w:rPr>
        <w:t xml:space="preserve">It is the market for new long term capital. </w:t>
      </w:r>
    </w:p>
    <w:p w14:paraId="1CFDCA94" w14:textId="77777777" w:rsidR="00B16770" w:rsidRPr="00B16770" w:rsidRDefault="00B16770" w:rsidP="00B16770">
      <w:pPr>
        <w:shd w:val="clear" w:color="auto" w:fill="FFFFFF"/>
        <w:spacing w:after="0" w:line="0" w:lineRule="auto"/>
        <w:rPr>
          <w:rFonts w:eastAsia="Times New Roman" w:cstheme="minorHAnsi"/>
          <w:color w:val="000000"/>
          <w:sz w:val="32"/>
          <w:szCs w:val="32"/>
          <w:lang w:val="en-IN" w:eastAsia="en-IN"/>
        </w:rPr>
      </w:pPr>
      <w:r w:rsidRPr="00B16770">
        <w:rPr>
          <w:rFonts w:eastAsia="Times New Roman" w:cstheme="minorHAnsi"/>
          <w:color w:val="000000"/>
          <w:sz w:val="32"/>
          <w:szCs w:val="32"/>
          <w:lang w:val="en-IN" w:eastAsia="en-IN"/>
        </w:rPr>
        <w:t>2.</w:t>
      </w:r>
      <w:r w:rsidRPr="00B16770">
        <w:rPr>
          <w:rFonts w:eastAsia="Times New Roman" w:cstheme="minorHAnsi"/>
          <w:color w:val="000000"/>
          <w:spacing w:val="212"/>
          <w:sz w:val="32"/>
          <w:szCs w:val="32"/>
          <w:lang w:val="en-IN" w:eastAsia="en-IN"/>
        </w:rPr>
        <w:t xml:space="preserve"> </w:t>
      </w:r>
      <w:r w:rsidRPr="00B16770">
        <w:rPr>
          <w:rFonts w:eastAsia="Times New Roman" w:cstheme="minorHAnsi"/>
          <w:color w:val="000000"/>
          <w:sz w:val="32"/>
          <w:szCs w:val="32"/>
          <w:lang w:val="en-IN" w:eastAsia="en-IN"/>
        </w:rPr>
        <w:t xml:space="preserve">The securities are issued by company for the first time directly to the investors. </w:t>
      </w:r>
    </w:p>
    <w:p w14:paraId="4F514EB4" w14:textId="77777777" w:rsidR="00B16770" w:rsidRPr="00B16770" w:rsidRDefault="00B16770" w:rsidP="00B16770">
      <w:pPr>
        <w:shd w:val="clear" w:color="auto" w:fill="FFFFFF"/>
        <w:spacing w:after="0" w:line="0" w:lineRule="auto"/>
        <w:rPr>
          <w:rFonts w:eastAsia="Times New Roman" w:cstheme="minorHAnsi"/>
          <w:color w:val="000000"/>
          <w:sz w:val="32"/>
          <w:szCs w:val="32"/>
          <w:lang w:val="en-IN" w:eastAsia="en-IN"/>
        </w:rPr>
      </w:pPr>
      <w:r w:rsidRPr="00B16770">
        <w:rPr>
          <w:rFonts w:eastAsia="Times New Roman" w:cstheme="minorHAnsi"/>
          <w:color w:val="000000"/>
          <w:sz w:val="32"/>
          <w:szCs w:val="32"/>
          <w:lang w:val="en-IN" w:eastAsia="en-IN"/>
        </w:rPr>
        <w:t>3.</w:t>
      </w:r>
      <w:r w:rsidRPr="00B16770">
        <w:rPr>
          <w:rFonts w:eastAsia="Times New Roman" w:cstheme="minorHAnsi"/>
          <w:color w:val="000000"/>
          <w:spacing w:val="212"/>
          <w:sz w:val="32"/>
          <w:szCs w:val="32"/>
          <w:lang w:val="en-IN" w:eastAsia="en-IN"/>
        </w:rPr>
        <w:t xml:space="preserve"> </w:t>
      </w:r>
      <w:r w:rsidRPr="00B16770">
        <w:rPr>
          <w:rFonts w:eastAsia="Times New Roman" w:cstheme="minorHAnsi"/>
          <w:color w:val="000000"/>
          <w:sz w:val="32"/>
          <w:szCs w:val="32"/>
          <w:lang w:val="en-IN" w:eastAsia="en-IN"/>
        </w:rPr>
        <w:t xml:space="preserve">On  receiving the </w:t>
      </w:r>
    </w:p>
    <w:p w14:paraId="106B9AF3" w14:textId="77777777" w:rsidR="00B16770" w:rsidRPr="00B16770" w:rsidRDefault="00B16770" w:rsidP="00B16770">
      <w:pPr>
        <w:shd w:val="clear" w:color="auto" w:fill="FFFFFF"/>
        <w:spacing w:after="0" w:line="0" w:lineRule="auto"/>
        <w:rPr>
          <w:rFonts w:eastAsia="Times New Roman" w:cstheme="minorHAnsi"/>
          <w:color w:val="000000"/>
          <w:sz w:val="32"/>
          <w:szCs w:val="32"/>
          <w:lang w:val="en-IN" w:eastAsia="en-IN"/>
        </w:rPr>
      </w:pPr>
      <w:r w:rsidRPr="00B16770">
        <w:rPr>
          <w:rFonts w:eastAsia="Times New Roman" w:cstheme="minorHAnsi"/>
          <w:color w:val="000000"/>
          <w:sz w:val="32"/>
          <w:szCs w:val="32"/>
          <w:lang w:val="en-IN" w:eastAsia="en-IN"/>
        </w:rPr>
        <w:t xml:space="preserve">Features of New Issue Market </w:t>
      </w:r>
    </w:p>
    <w:p w14:paraId="0B24130E" w14:textId="77777777" w:rsidR="00B16770" w:rsidRPr="00B16770" w:rsidRDefault="00B16770" w:rsidP="00B16770">
      <w:pPr>
        <w:shd w:val="clear" w:color="auto" w:fill="FFFFFF"/>
        <w:spacing w:after="0" w:line="0" w:lineRule="auto"/>
        <w:rPr>
          <w:rFonts w:eastAsia="Times New Roman" w:cstheme="minorHAnsi"/>
          <w:color w:val="000000"/>
          <w:sz w:val="32"/>
          <w:szCs w:val="32"/>
          <w:lang w:val="en-IN" w:eastAsia="en-IN"/>
        </w:rPr>
      </w:pPr>
      <w:r w:rsidRPr="00B16770">
        <w:rPr>
          <w:rFonts w:eastAsia="Times New Roman" w:cstheme="minorHAnsi"/>
          <w:color w:val="000000"/>
          <w:sz w:val="32"/>
          <w:szCs w:val="32"/>
          <w:lang w:val="en-IN" w:eastAsia="en-IN"/>
        </w:rPr>
        <w:t xml:space="preserve"> </w:t>
      </w:r>
    </w:p>
    <w:p w14:paraId="01FBAB19" w14:textId="77777777" w:rsidR="00B16770" w:rsidRPr="00B16770" w:rsidRDefault="00B16770" w:rsidP="00B16770">
      <w:pPr>
        <w:shd w:val="clear" w:color="auto" w:fill="FFFFFF"/>
        <w:spacing w:after="0" w:line="0" w:lineRule="auto"/>
        <w:rPr>
          <w:rFonts w:eastAsia="Times New Roman" w:cstheme="minorHAnsi"/>
          <w:color w:val="000000"/>
          <w:sz w:val="32"/>
          <w:szCs w:val="32"/>
          <w:lang w:val="en-IN" w:eastAsia="en-IN"/>
        </w:rPr>
      </w:pPr>
      <w:r w:rsidRPr="00B16770">
        <w:rPr>
          <w:rFonts w:eastAsia="Times New Roman" w:cstheme="minorHAnsi"/>
          <w:color w:val="000000"/>
          <w:sz w:val="32"/>
          <w:szCs w:val="32"/>
          <w:lang w:val="en-IN" w:eastAsia="en-IN"/>
        </w:rPr>
        <w:t xml:space="preserve">Primary Market </w:t>
      </w:r>
    </w:p>
    <w:p w14:paraId="2EDF9B99" w14:textId="77777777" w:rsidR="00B16770" w:rsidRPr="00B16770" w:rsidRDefault="00B16770" w:rsidP="00B16770">
      <w:pPr>
        <w:shd w:val="clear" w:color="auto" w:fill="FFFFFF"/>
        <w:spacing w:after="0" w:line="0" w:lineRule="auto"/>
        <w:rPr>
          <w:rFonts w:eastAsia="Times New Roman" w:cstheme="minorHAnsi"/>
          <w:color w:val="000000"/>
          <w:sz w:val="32"/>
          <w:szCs w:val="32"/>
          <w:lang w:val="en-IN" w:eastAsia="en-IN"/>
        </w:rPr>
      </w:pPr>
      <w:r w:rsidRPr="00B16770">
        <w:rPr>
          <w:rFonts w:eastAsia="Times New Roman" w:cstheme="minorHAnsi"/>
          <w:color w:val="000000"/>
          <w:sz w:val="32"/>
          <w:szCs w:val="32"/>
          <w:lang w:val="en-IN" w:eastAsia="en-IN"/>
        </w:rPr>
        <w:t>1.</w:t>
      </w:r>
      <w:r w:rsidRPr="00B16770">
        <w:rPr>
          <w:rFonts w:eastAsia="Times New Roman" w:cstheme="minorHAnsi"/>
          <w:color w:val="000000"/>
          <w:spacing w:val="212"/>
          <w:sz w:val="32"/>
          <w:szCs w:val="32"/>
          <w:lang w:val="en-IN" w:eastAsia="en-IN"/>
        </w:rPr>
        <w:t xml:space="preserve"> </w:t>
      </w:r>
      <w:r w:rsidRPr="00B16770">
        <w:rPr>
          <w:rFonts w:eastAsia="Times New Roman" w:cstheme="minorHAnsi"/>
          <w:color w:val="000000"/>
          <w:sz w:val="32"/>
          <w:szCs w:val="32"/>
          <w:lang w:val="en-IN" w:eastAsia="en-IN"/>
        </w:rPr>
        <w:t xml:space="preserve">It is the market for new long term capital. </w:t>
      </w:r>
    </w:p>
    <w:p w14:paraId="53611B4B" w14:textId="77777777" w:rsidR="00B16770" w:rsidRPr="00B16770" w:rsidRDefault="00B16770" w:rsidP="00B16770">
      <w:pPr>
        <w:shd w:val="clear" w:color="auto" w:fill="FFFFFF"/>
        <w:spacing w:after="0" w:line="0" w:lineRule="auto"/>
        <w:rPr>
          <w:rFonts w:eastAsia="Times New Roman" w:cstheme="minorHAnsi"/>
          <w:color w:val="000000"/>
          <w:sz w:val="32"/>
          <w:szCs w:val="32"/>
          <w:lang w:val="en-IN" w:eastAsia="en-IN"/>
        </w:rPr>
      </w:pPr>
      <w:r w:rsidRPr="00B16770">
        <w:rPr>
          <w:rFonts w:eastAsia="Times New Roman" w:cstheme="minorHAnsi"/>
          <w:color w:val="000000"/>
          <w:sz w:val="32"/>
          <w:szCs w:val="32"/>
          <w:lang w:val="en-IN" w:eastAsia="en-IN"/>
        </w:rPr>
        <w:t>2.</w:t>
      </w:r>
      <w:r w:rsidRPr="00B16770">
        <w:rPr>
          <w:rFonts w:eastAsia="Times New Roman" w:cstheme="minorHAnsi"/>
          <w:color w:val="000000"/>
          <w:spacing w:val="212"/>
          <w:sz w:val="32"/>
          <w:szCs w:val="32"/>
          <w:lang w:val="en-IN" w:eastAsia="en-IN"/>
        </w:rPr>
        <w:t xml:space="preserve"> </w:t>
      </w:r>
      <w:r w:rsidRPr="00B16770">
        <w:rPr>
          <w:rFonts w:eastAsia="Times New Roman" w:cstheme="minorHAnsi"/>
          <w:color w:val="000000"/>
          <w:sz w:val="32"/>
          <w:szCs w:val="32"/>
          <w:lang w:val="en-IN" w:eastAsia="en-IN"/>
        </w:rPr>
        <w:t xml:space="preserve">The securities are issued by company for the first time directly to the investors. </w:t>
      </w:r>
    </w:p>
    <w:p w14:paraId="4F60ED81" w14:textId="77777777" w:rsidR="00B16770" w:rsidRPr="00B16770" w:rsidRDefault="00B16770" w:rsidP="00B16770">
      <w:pPr>
        <w:shd w:val="clear" w:color="auto" w:fill="FFFFFF"/>
        <w:spacing w:after="0" w:line="0" w:lineRule="auto"/>
        <w:rPr>
          <w:rFonts w:eastAsia="Times New Roman" w:cstheme="minorHAnsi"/>
          <w:color w:val="000000"/>
          <w:sz w:val="32"/>
          <w:szCs w:val="32"/>
          <w:lang w:val="en-IN" w:eastAsia="en-IN"/>
        </w:rPr>
      </w:pPr>
      <w:r w:rsidRPr="00B16770">
        <w:rPr>
          <w:rFonts w:eastAsia="Times New Roman" w:cstheme="minorHAnsi"/>
          <w:color w:val="000000"/>
          <w:sz w:val="32"/>
          <w:szCs w:val="32"/>
          <w:lang w:val="en-IN" w:eastAsia="en-IN"/>
        </w:rPr>
        <w:t>3.</w:t>
      </w:r>
      <w:r w:rsidRPr="00B16770">
        <w:rPr>
          <w:rFonts w:eastAsia="Times New Roman" w:cstheme="minorHAnsi"/>
          <w:color w:val="000000"/>
          <w:spacing w:val="212"/>
          <w:sz w:val="32"/>
          <w:szCs w:val="32"/>
          <w:lang w:val="en-IN" w:eastAsia="en-IN"/>
        </w:rPr>
        <w:t xml:space="preserve"> </w:t>
      </w:r>
      <w:r w:rsidRPr="00B16770">
        <w:rPr>
          <w:rFonts w:eastAsia="Times New Roman" w:cstheme="minorHAnsi"/>
          <w:color w:val="000000"/>
          <w:sz w:val="32"/>
          <w:szCs w:val="32"/>
          <w:lang w:val="en-IN" w:eastAsia="en-IN"/>
        </w:rPr>
        <w:t xml:space="preserve">On  receiving the </w:t>
      </w:r>
    </w:p>
    <w:p w14:paraId="45BC6D9A" w14:textId="77777777" w:rsidR="00A35096" w:rsidRPr="000F082E" w:rsidRDefault="00A35096" w:rsidP="00A35096">
      <w:pPr>
        <w:pStyle w:val="BodyText"/>
        <w:spacing w:before="202"/>
        <w:jc w:val="both"/>
        <w:rPr>
          <w:rFonts w:asciiTheme="minorHAnsi" w:hAnsiTheme="minorHAnsi" w:cstheme="minorHAnsi"/>
          <w:i w:val="0"/>
          <w:sz w:val="32"/>
          <w:szCs w:val="32"/>
        </w:rPr>
      </w:pPr>
      <w:r w:rsidRPr="000F082E">
        <w:rPr>
          <w:rFonts w:asciiTheme="minorHAnsi" w:hAnsiTheme="minorHAnsi" w:cstheme="minorHAnsi"/>
          <w:i w:val="0"/>
          <w:sz w:val="32"/>
          <w:szCs w:val="32"/>
        </w:rPr>
        <w:t>FEATURES</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PRIMARY</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MARKETS</w:t>
      </w:r>
    </w:p>
    <w:p w14:paraId="68C5892E" w14:textId="77777777" w:rsidR="00A35096" w:rsidRPr="000F082E" w:rsidRDefault="00A35096" w:rsidP="00A35096">
      <w:pPr>
        <w:pStyle w:val="ListParagraph"/>
        <w:numPr>
          <w:ilvl w:val="0"/>
          <w:numId w:val="4"/>
        </w:numPr>
        <w:tabs>
          <w:tab w:val="left" w:pos="489"/>
        </w:tabs>
        <w:spacing w:before="242" w:line="268" w:lineRule="auto"/>
        <w:ind w:right="158" w:firstLine="0"/>
        <w:jc w:val="both"/>
        <w:rPr>
          <w:rFonts w:asciiTheme="minorHAnsi" w:hAnsiTheme="minorHAnsi" w:cstheme="minorHAnsi"/>
          <w:sz w:val="32"/>
          <w:szCs w:val="32"/>
        </w:rPr>
      </w:pPr>
      <w:r w:rsidRPr="000F082E">
        <w:rPr>
          <w:rFonts w:asciiTheme="minorHAnsi" w:hAnsiTheme="minorHAnsi" w:cstheme="minorHAnsi"/>
          <w:sz w:val="32"/>
          <w:szCs w:val="32"/>
        </w:rPr>
        <w:t>This is the market for new long term equity capital. The primary market</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is the market where the securities are sold for the first time. Therefore it is</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also</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called</w:t>
      </w:r>
      <w:r w:rsidRPr="000F082E">
        <w:rPr>
          <w:rFonts w:asciiTheme="minorHAnsi" w:hAnsiTheme="minorHAnsi" w:cstheme="minorHAnsi"/>
          <w:spacing w:val="-2"/>
          <w:sz w:val="32"/>
          <w:szCs w:val="32"/>
        </w:rPr>
        <w:t xml:space="preserve"> </w:t>
      </w:r>
      <w:r w:rsidRPr="000F082E">
        <w:rPr>
          <w:rFonts w:asciiTheme="minorHAnsi" w:hAnsiTheme="minorHAnsi" w:cstheme="minorHAnsi"/>
          <w:sz w:val="32"/>
          <w:szCs w:val="32"/>
        </w:rPr>
        <w:t>the</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new issue</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market (NIM).</w:t>
      </w:r>
    </w:p>
    <w:p w14:paraId="7D2C9A8D" w14:textId="77777777" w:rsidR="00A35096" w:rsidRPr="000F082E" w:rsidRDefault="00A35096" w:rsidP="00A35096">
      <w:pPr>
        <w:pStyle w:val="ListParagraph"/>
        <w:numPr>
          <w:ilvl w:val="0"/>
          <w:numId w:val="4"/>
        </w:numPr>
        <w:tabs>
          <w:tab w:val="left" w:pos="560"/>
        </w:tabs>
        <w:spacing w:before="203" w:line="268" w:lineRule="auto"/>
        <w:ind w:right="157" w:firstLine="0"/>
        <w:jc w:val="both"/>
        <w:rPr>
          <w:rFonts w:asciiTheme="minorHAnsi" w:hAnsiTheme="minorHAnsi" w:cstheme="minorHAnsi"/>
          <w:sz w:val="32"/>
          <w:szCs w:val="32"/>
        </w:rPr>
      </w:pPr>
      <w:r w:rsidRPr="000F082E">
        <w:rPr>
          <w:rFonts w:asciiTheme="minorHAnsi" w:hAnsiTheme="minorHAnsi" w:cstheme="minorHAnsi"/>
          <w:sz w:val="32"/>
          <w:szCs w:val="32"/>
        </w:rPr>
        <w:t>in a primary issue, the securities are issued by the company directly to</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investors.</w:t>
      </w:r>
    </w:p>
    <w:p w14:paraId="33320231" w14:textId="77777777" w:rsidR="00A35096" w:rsidRPr="000F082E" w:rsidRDefault="00A35096" w:rsidP="00A35096">
      <w:pPr>
        <w:pStyle w:val="ListParagraph"/>
        <w:numPr>
          <w:ilvl w:val="0"/>
          <w:numId w:val="4"/>
        </w:numPr>
        <w:tabs>
          <w:tab w:val="left" w:pos="628"/>
        </w:tabs>
        <w:spacing w:before="202" w:line="268" w:lineRule="auto"/>
        <w:ind w:right="159" w:firstLine="0"/>
        <w:jc w:val="both"/>
        <w:rPr>
          <w:rFonts w:asciiTheme="minorHAnsi" w:hAnsiTheme="minorHAnsi" w:cstheme="minorHAnsi"/>
          <w:sz w:val="32"/>
          <w:szCs w:val="32"/>
        </w:rPr>
      </w:pPr>
      <w:r w:rsidRPr="000F082E">
        <w:rPr>
          <w:rFonts w:asciiTheme="minorHAnsi" w:hAnsiTheme="minorHAnsi" w:cstheme="minorHAnsi"/>
          <w:sz w:val="32"/>
          <w:szCs w:val="32"/>
        </w:rPr>
        <w:t>The company receives the money and issues new security certificates</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to</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the investors</w:t>
      </w:r>
    </w:p>
    <w:p w14:paraId="208AEC17" w14:textId="77777777" w:rsidR="00A35096" w:rsidRPr="000F082E" w:rsidRDefault="00A35096" w:rsidP="00A35096">
      <w:pPr>
        <w:pStyle w:val="ListParagraph"/>
        <w:numPr>
          <w:ilvl w:val="0"/>
          <w:numId w:val="4"/>
        </w:numPr>
        <w:tabs>
          <w:tab w:val="left" w:pos="647"/>
        </w:tabs>
        <w:spacing w:before="202" w:line="268" w:lineRule="auto"/>
        <w:ind w:right="157" w:firstLine="0"/>
        <w:jc w:val="both"/>
        <w:rPr>
          <w:rFonts w:asciiTheme="minorHAnsi" w:hAnsiTheme="minorHAnsi" w:cstheme="minorHAnsi"/>
          <w:sz w:val="32"/>
          <w:szCs w:val="32"/>
        </w:rPr>
      </w:pPr>
      <w:r w:rsidRPr="000F082E">
        <w:rPr>
          <w:rFonts w:asciiTheme="minorHAnsi" w:hAnsiTheme="minorHAnsi" w:cstheme="minorHAnsi"/>
          <w:sz w:val="32"/>
          <w:szCs w:val="32"/>
        </w:rPr>
        <w:t>Primary issues are used by companies for the purpose of setting up</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new</w:t>
      </w:r>
      <w:r w:rsidRPr="000F082E">
        <w:rPr>
          <w:rFonts w:asciiTheme="minorHAnsi" w:hAnsiTheme="minorHAnsi" w:cstheme="minorHAnsi"/>
          <w:spacing w:val="-6"/>
          <w:sz w:val="32"/>
          <w:szCs w:val="32"/>
        </w:rPr>
        <w:t xml:space="preserve"> </w:t>
      </w:r>
      <w:r w:rsidRPr="000F082E">
        <w:rPr>
          <w:rFonts w:asciiTheme="minorHAnsi" w:hAnsiTheme="minorHAnsi" w:cstheme="minorHAnsi"/>
          <w:sz w:val="32"/>
          <w:szCs w:val="32"/>
        </w:rPr>
        <w:t>business</w:t>
      </w:r>
      <w:r w:rsidRPr="000F082E">
        <w:rPr>
          <w:rFonts w:asciiTheme="minorHAnsi" w:hAnsiTheme="minorHAnsi" w:cstheme="minorHAnsi"/>
          <w:spacing w:val="-6"/>
          <w:sz w:val="32"/>
          <w:szCs w:val="32"/>
        </w:rPr>
        <w:t xml:space="preserve"> </w:t>
      </w:r>
      <w:r w:rsidRPr="000F082E">
        <w:rPr>
          <w:rFonts w:asciiTheme="minorHAnsi" w:hAnsiTheme="minorHAnsi" w:cstheme="minorHAnsi"/>
          <w:sz w:val="32"/>
          <w:szCs w:val="32"/>
        </w:rPr>
        <w:t>or</w:t>
      </w:r>
      <w:r w:rsidRPr="000F082E">
        <w:rPr>
          <w:rFonts w:asciiTheme="minorHAnsi" w:hAnsiTheme="minorHAnsi" w:cstheme="minorHAnsi"/>
          <w:spacing w:val="-6"/>
          <w:sz w:val="32"/>
          <w:szCs w:val="32"/>
        </w:rPr>
        <w:t xml:space="preserve"> </w:t>
      </w:r>
      <w:r w:rsidRPr="000F082E">
        <w:rPr>
          <w:rFonts w:asciiTheme="minorHAnsi" w:hAnsiTheme="minorHAnsi" w:cstheme="minorHAnsi"/>
          <w:sz w:val="32"/>
          <w:szCs w:val="32"/>
        </w:rPr>
        <w:t>for</w:t>
      </w:r>
      <w:r w:rsidRPr="000F082E">
        <w:rPr>
          <w:rFonts w:asciiTheme="minorHAnsi" w:hAnsiTheme="minorHAnsi" w:cstheme="minorHAnsi"/>
          <w:spacing w:val="-6"/>
          <w:sz w:val="32"/>
          <w:szCs w:val="32"/>
        </w:rPr>
        <w:t xml:space="preserve"> </w:t>
      </w:r>
      <w:r w:rsidRPr="000F082E">
        <w:rPr>
          <w:rFonts w:asciiTheme="minorHAnsi" w:hAnsiTheme="minorHAnsi" w:cstheme="minorHAnsi"/>
          <w:sz w:val="32"/>
          <w:szCs w:val="32"/>
        </w:rPr>
        <w:t>expanding</w:t>
      </w:r>
      <w:r w:rsidRPr="000F082E">
        <w:rPr>
          <w:rFonts w:asciiTheme="minorHAnsi" w:hAnsiTheme="minorHAnsi" w:cstheme="minorHAnsi"/>
          <w:spacing w:val="-6"/>
          <w:sz w:val="32"/>
          <w:szCs w:val="32"/>
        </w:rPr>
        <w:t xml:space="preserve"> </w:t>
      </w:r>
      <w:r w:rsidRPr="000F082E">
        <w:rPr>
          <w:rFonts w:asciiTheme="minorHAnsi" w:hAnsiTheme="minorHAnsi" w:cstheme="minorHAnsi"/>
          <w:sz w:val="32"/>
          <w:szCs w:val="32"/>
        </w:rPr>
        <w:t>or</w:t>
      </w:r>
      <w:r w:rsidRPr="000F082E">
        <w:rPr>
          <w:rFonts w:asciiTheme="minorHAnsi" w:hAnsiTheme="minorHAnsi" w:cstheme="minorHAnsi"/>
          <w:spacing w:val="-6"/>
          <w:sz w:val="32"/>
          <w:szCs w:val="32"/>
        </w:rPr>
        <w:t xml:space="preserve"> </w:t>
      </w:r>
      <w:r w:rsidRPr="000F082E">
        <w:rPr>
          <w:rFonts w:asciiTheme="minorHAnsi" w:hAnsiTheme="minorHAnsi" w:cstheme="minorHAnsi"/>
          <w:sz w:val="32"/>
          <w:szCs w:val="32"/>
        </w:rPr>
        <w:t>modernizing</w:t>
      </w:r>
      <w:r w:rsidRPr="000F082E">
        <w:rPr>
          <w:rFonts w:asciiTheme="minorHAnsi" w:hAnsiTheme="minorHAnsi" w:cstheme="minorHAnsi"/>
          <w:spacing w:val="-7"/>
          <w:sz w:val="32"/>
          <w:szCs w:val="32"/>
        </w:rPr>
        <w:t xml:space="preserve"> </w:t>
      </w:r>
      <w:r w:rsidRPr="000F082E">
        <w:rPr>
          <w:rFonts w:asciiTheme="minorHAnsi" w:hAnsiTheme="minorHAnsi" w:cstheme="minorHAnsi"/>
          <w:sz w:val="32"/>
          <w:szCs w:val="32"/>
        </w:rPr>
        <w:t>the</w:t>
      </w:r>
      <w:r w:rsidRPr="000F082E">
        <w:rPr>
          <w:rFonts w:asciiTheme="minorHAnsi" w:hAnsiTheme="minorHAnsi" w:cstheme="minorHAnsi"/>
          <w:spacing w:val="-6"/>
          <w:sz w:val="32"/>
          <w:szCs w:val="32"/>
        </w:rPr>
        <w:t xml:space="preserve"> </w:t>
      </w:r>
      <w:r w:rsidRPr="000F082E">
        <w:rPr>
          <w:rFonts w:asciiTheme="minorHAnsi" w:hAnsiTheme="minorHAnsi" w:cstheme="minorHAnsi"/>
          <w:sz w:val="32"/>
          <w:szCs w:val="32"/>
        </w:rPr>
        <w:t>existing</w:t>
      </w:r>
      <w:r w:rsidRPr="000F082E">
        <w:rPr>
          <w:rFonts w:asciiTheme="minorHAnsi" w:hAnsiTheme="minorHAnsi" w:cstheme="minorHAnsi"/>
          <w:spacing w:val="-7"/>
          <w:sz w:val="32"/>
          <w:szCs w:val="32"/>
        </w:rPr>
        <w:t xml:space="preserve"> </w:t>
      </w:r>
      <w:r w:rsidRPr="000F082E">
        <w:rPr>
          <w:rFonts w:asciiTheme="minorHAnsi" w:hAnsiTheme="minorHAnsi" w:cstheme="minorHAnsi"/>
          <w:sz w:val="32"/>
          <w:szCs w:val="32"/>
        </w:rPr>
        <w:t>business.</w:t>
      </w:r>
    </w:p>
    <w:p w14:paraId="0C90037A" w14:textId="77777777" w:rsidR="00A35096" w:rsidRPr="000F082E" w:rsidRDefault="00A35096" w:rsidP="00A35096">
      <w:pPr>
        <w:pStyle w:val="ListParagraph"/>
        <w:numPr>
          <w:ilvl w:val="0"/>
          <w:numId w:val="4"/>
        </w:numPr>
        <w:tabs>
          <w:tab w:val="left" w:pos="563"/>
        </w:tabs>
        <w:spacing w:before="201" w:line="268" w:lineRule="auto"/>
        <w:ind w:right="157" w:firstLine="0"/>
        <w:jc w:val="both"/>
        <w:rPr>
          <w:rFonts w:asciiTheme="minorHAnsi" w:hAnsiTheme="minorHAnsi" w:cstheme="minorHAnsi"/>
          <w:sz w:val="32"/>
          <w:szCs w:val="32"/>
        </w:rPr>
      </w:pPr>
      <w:r w:rsidRPr="000F082E">
        <w:rPr>
          <w:rFonts w:asciiTheme="minorHAnsi" w:hAnsiTheme="minorHAnsi" w:cstheme="minorHAnsi"/>
          <w:sz w:val="32"/>
          <w:szCs w:val="32"/>
        </w:rPr>
        <w:t>The primary market performs the crucial function of facilitating capital</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formation</w:t>
      </w:r>
      <w:r w:rsidRPr="000F082E">
        <w:rPr>
          <w:rFonts w:asciiTheme="minorHAnsi" w:hAnsiTheme="minorHAnsi" w:cstheme="minorHAnsi"/>
          <w:spacing w:val="-2"/>
          <w:sz w:val="32"/>
          <w:szCs w:val="32"/>
        </w:rPr>
        <w:t xml:space="preserve"> </w:t>
      </w:r>
      <w:r w:rsidRPr="000F082E">
        <w:rPr>
          <w:rFonts w:asciiTheme="minorHAnsi" w:hAnsiTheme="minorHAnsi" w:cstheme="minorHAnsi"/>
          <w:sz w:val="32"/>
          <w:szCs w:val="32"/>
        </w:rPr>
        <w:t>in</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the</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economy.</w:t>
      </w:r>
    </w:p>
    <w:p w14:paraId="0BE21FFD" w14:textId="77777777" w:rsidR="00A35096" w:rsidRPr="000F082E" w:rsidRDefault="00A35096" w:rsidP="00A35096">
      <w:pPr>
        <w:pStyle w:val="ListParagraph"/>
        <w:numPr>
          <w:ilvl w:val="0"/>
          <w:numId w:val="4"/>
        </w:numPr>
        <w:tabs>
          <w:tab w:val="left" w:pos="641"/>
        </w:tabs>
        <w:spacing w:before="202" w:line="268" w:lineRule="auto"/>
        <w:ind w:right="157" w:firstLine="0"/>
        <w:jc w:val="both"/>
        <w:rPr>
          <w:rFonts w:asciiTheme="minorHAnsi" w:hAnsiTheme="minorHAnsi" w:cstheme="minorHAnsi"/>
          <w:sz w:val="32"/>
          <w:szCs w:val="32"/>
        </w:rPr>
      </w:pPr>
      <w:r w:rsidRPr="000F082E">
        <w:rPr>
          <w:rFonts w:asciiTheme="minorHAnsi" w:hAnsiTheme="minorHAnsi" w:cstheme="minorHAnsi"/>
          <w:sz w:val="32"/>
          <w:szCs w:val="32"/>
        </w:rPr>
        <w:t>The new issue market does not include certain other sources of new</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long</w:t>
      </w:r>
      <w:r w:rsidRPr="000F082E">
        <w:rPr>
          <w:rFonts w:asciiTheme="minorHAnsi" w:hAnsiTheme="minorHAnsi" w:cstheme="minorHAnsi"/>
          <w:spacing w:val="-2"/>
          <w:sz w:val="32"/>
          <w:szCs w:val="32"/>
        </w:rPr>
        <w:t xml:space="preserve"> </w:t>
      </w:r>
      <w:r w:rsidRPr="000F082E">
        <w:rPr>
          <w:rFonts w:asciiTheme="minorHAnsi" w:hAnsiTheme="minorHAnsi" w:cstheme="minorHAnsi"/>
          <w:sz w:val="32"/>
          <w:szCs w:val="32"/>
        </w:rPr>
        <w:t>term</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external</w:t>
      </w:r>
    </w:p>
    <w:p w14:paraId="7CF1D704" w14:textId="77777777" w:rsidR="00A35096" w:rsidRPr="000F082E" w:rsidRDefault="00A35096" w:rsidP="00A35096">
      <w:pPr>
        <w:pStyle w:val="BodyText"/>
        <w:spacing w:before="202" w:line="268" w:lineRule="auto"/>
        <w:ind w:right="157"/>
        <w:jc w:val="both"/>
        <w:rPr>
          <w:rFonts w:asciiTheme="minorHAnsi" w:hAnsiTheme="minorHAnsi" w:cstheme="minorHAnsi"/>
          <w:i w:val="0"/>
          <w:sz w:val="32"/>
          <w:szCs w:val="32"/>
        </w:rPr>
      </w:pPr>
      <w:r w:rsidRPr="000F082E">
        <w:rPr>
          <w:rFonts w:asciiTheme="minorHAnsi" w:hAnsiTheme="minorHAnsi" w:cstheme="minorHAnsi"/>
          <w:i w:val="0"/>
          <w:sz w:val="32"/>
          <w:szCs w:val="32"/>
        </w:rPr>
        <w:t>finance, such as loans from financial institutions. Borrowers in the new</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issue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market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may be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raising</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capital for</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converting</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private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capital into</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public</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capital,</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this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known</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as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going</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public.</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w:t>
      </w:r>
    </w:p>
    <w:p w14:paraId="64D2B7CD" w14:textId="77777777" w:rsidR="00A35096" w:rsidRPr="000F082E" w:rsidRDefault="00A35096" w:rsidP="00A35096">
      <w:pPr>
        <w:spacing w:line="268" w:lineRule="auto"/>
        <w:jc w:val="both"/>
        <w:rPr>
          <w:rFonts w:cstheme="minorHAnsi"/>
          <w:sz w:val="32"/>
          <w:szCs w:val="32"/>
        </w:rPr>
        <w:sectPr w:rsidR="00A35096" w:rsidRPr="000F082E">
          <w:pgSz w:w="12240" w:h="15840"/>
          <w:pgMar w:top="1540" w:right="1280" w:bottom="1740" w:left="1300" w:header="719" w:footer="1551" w:gutter="0"/>
          <w:cols w:space="720"/>
        </w:sectPr>
      </w:pPr>
    </w:p>
    <w:p w14:paraId="3CFF3898" w14:textId="77777777" w:rsidR="00B16770" w:rsidRPr="000F082E" w:rsidRDefault="00B16770">
      <w:pPr>
        <w:rPr>
          <w:rFonts w:cstheme="minorHAnsi"/>
          <w:sz w:val="32"/>
          <w:szCs w:val="32"/>
        </w:rPr>
      </w:pPr>
    </w:p>
    <w:p w14:paraId="71B6FF63" w14:textId="77777777" w:rsidR="00A35096" w:rsidRPr="000F082E" w:rsidRDefault="00A35096" w:rsidP="00A35096">
      <w:pPr>
        <w:pStyle w:val="Heading2"/>
        <w:spacing w:before="93"/>
        <w:jc w:val="both"/>
        <w:rPr>
          <w:rFonts w:asciiTheme="minorHAnsi" w:hAnsiTheme="minorHAnsi" w:cstheme="minorHAnsi"/>
          <w:sz w:val="32"/>
          <w:szCs w:val="32"/>
        </w:rPr>
      </w:pPr>
      <w:r w:rsidRPr="000F082E">
        <w:rPr>
          <w:rFonts w:asciiTheme="minorHAnsi" w:hAnsiTheme="minorHAnsi" w:cstheme="minorHAnsi"/>
          <w:w w:val="115"/>
          <w:sz w:val="32"/>
          <w:szCs w:val="32"/>
        </w:rPr>
        <w:t>FUNCTIONS</w:t>
      </w:r>
      <w:r w:rsidRPr="000F082E">
        <w:rPr>
          <w:rFonts w:asciiTheme="minorHAnsi" w:hAnsiTheme="minorHAnsi" w:cstheme="minorHAnsi"/>
          <w:spacing w:val="4"/>
          <w:w w:val="115"/>
          <w:sz w:val="32"/>
          <w:szCs w:val="32"/>
        </w:rPr>
        <w:t xml:space="preserve"> </w:t>
      </w:r>
      <w:r w:rsidRPr="000F082E">
        <w:rPr>
          <w:rFonts w:asciiTheme="minorHAnsi" w:hAnsiTheme="minorHAnsi" w:cstheme="minorHAnsi"/>
          <w:w w:val="115"/>
          <w:sz w:val="32"/>
          <w:szCs w:val="32"/>
        </w:rPr>
        <w:t>OF</w:t>
      </w:r>
      <w:r w:rsidRPr="000F082E">
        <w:rPr>
          <w:rFonts w:asciiTheme="minorHAnsi" w:hAnsiTheme="minorHAnsi" w:cstheme="minorHAnsi"/>
          <w:spacing w:val="5"/>
          <w:w w:val="115"/>
          <w:sz w:val="32"/>
          <w:szCs w:val="32"/>
        </w:rPr>
        <w:t xml:space="preserve"> </w:t>
      </w:r>
      <w:r w:rsidRPr="000F082E">
        <w:rPr>
          <w:rFonts w:asciiTheme="minorHAnsi" w:hAnsiTheme="minorHAnsi" w:cstheme="minorHAnsi"/>
          <w:w w:val="115"/>
          <w:sz w:val="32"/>
          <w:szCs w:val="32"/>
        </w:rPr>
        <w:t>NEW</w:t>
      </w:r>
      <w:r w:rsidRPr="000F082E">
        <w:rPr>
          <w:rFonts w:asciiTheme="minorHAnsi" w:hAnsiTheme="minorHAnsi" w:cstheme="minorHAnsi"/>
          <w:spacing w:val="6"/>
          <w:w w:val="115"/>
          <w:sz w:val="32"/>
          <w:szCs w:val="32"/>
        </w:rPr>
        <w:t xml:space="preserve"> </w:t>
      </w:r>
      <w:r w:rsidRPr="000F082E">
        <w:rPr>
          <w:rFonts w:asciiTheme="minorHAnsi" w:hAnsiTheme="minorHAnsi" w:cstheme="minorHAnsi"/>
          <w:w w:val="115"/>
          <w:sz w:val="32"/>
          <w:szCs w:val="32"/>
        </w:rPr>
        <w:t>ISSUE</w:t>
      </w:r>
      <w:r w:rsidRPr="000F082E">
        <w:rPr>
          <w:rFonts w:asciiTheme="minorHAnsi" w:hAnsiTheme="minorHAnsi" w:cstheme="minorHAnsi"/>
          <w:spacing w:val="6"/>
          <w:w w:val="115"/>
          <w:sz w:val="32"/>
          <w:szCs w:val="32"/>
        </w:rPr>
        <w:t xml:space="preserve"> </w:t>
      </w:r>
      <w:r w:rsidRPr="000F082E">
        <w:rPr>
          <w:rFonts w:asciiTheme="minorHAnsi" w:hAnsiTheme="minorHAnsi" w:cstheme="minorHAnsi"/>
          <w:w w:val="115"/>
          <w:sz w:val="32"/>
          <w:szCs w:val="32"/>
        </w:rPr>
        <w:t>MARKET</w:t>
      </w:r>
    </w:p>
    <w:p w14:paraId="14705D72" w14:textId="77777777" w:rsidR="00A35096" w:rsidRPr="000F082E" w:rsidRDefault="00A35096" w:rsidP="00A35096">
      <w:pPr>
        <w:pStyle w:val="BodyText"/>
        <w:spacing w:before="242"/>
        <w:jc w:val="both"/>
        <w:rPr>
          <w:rFonts w:asciiTheme="minorHAnsi" w:hAnsiTheme="minorHAnsi" w:cstheme="minorHAnsi"/>
          <w:i w:val="0"/>
          <w:sz w:val="32"/>
          <w:szCs w:val="32"/>
        </w:rPr>
      </w:pPr>
      <w:r w:rsidRPr="000F082E">
        <w:rPr>
          <w:rFonts w:asciiTheme="minorHAnsi" w:hAnsiTheme="minorHAnsi" w:cstheme="minorHAnsi"/>
          <w:i w:val="0"/>
          <w:sz w:val="32"/>
          <w:szCs w:val="32"/>
        </w:rPr>
        <w:t>A</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three</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service</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functions:</w:t>
      </w:r>
    </w:p>
    <w:p w14:paraId="7A8AF8BF" w14:textId="35BDA838" w:rsidR="00A35096" w:rsidRPr="000F082E" w:rsidRDefault="00A35096" w:rsidP="00A35096">
      <w:pPr>
        <w:pStyle w:val="BodyText"/>
        <w:jc w:val="both"/>
        <w:rPr>
          <w:rFonts w:asciiTheme="minorHAnsi" w:hAnsiTheme="minorHAnsi" w:cstheme="minorHAnsi"/>
          <w:i w:val="0"/>
          <w:sz w:val="32"/>
          <w:szCs w:val="32"/>
        </w:rPr>
      </w:pPr>
      <w:r w:rsidRPr="000F082E">
        <w:rPr>
          <w:rFonts w:asciiTheme="minorHAnsi" w:hAnsiTheme="minorHAnsi" w:cstheme="minorHAnsi"/>
          <w:i w:val="0"/>
          <w:sz w:val="32"/>
          <w:szCs w:val="32"/>
        </w:rPr>
        <w:t>The</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main</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functions</w:t>
      </w:r>
      <w:r w:rsidRPr="000F082E">
        <w:rPr>
          <w:rFonts w:asciiTheme="minorHAnsi" w:hAnsiTheme="minorHAnsi" w:cstheme="minorHAnsi"/>
          <w:i w:val="0"/>
          <w:spacing w:val="-8"/>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8"/>
          <w:sz w:val="32"/>
          <w:szCs w:val="32"/>
        </w:rPr>
        <w:t xml:space="preserve"> </w:t>
      </w:r>
      <w:r w:rsidRPr="000F082E">
        <w:rPr>
          <w:rFonts w:asciiTheme="minorHAnsi" w:hAnsiTheme="minorHAnsi" w:cstheme="minorHAnsi"/>
          <w:i w:val="0"/>
          <w:sz w:val="32"/>
          <w:szCs w:val="32"/>
        </w:rPr>
        <w:t>a</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new</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issue</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sue</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market</w:t>
      </w:r>
      <w:r w:rsidRPr="000F082E">
        <w:rPr>
          <w:rFonts w:asciiTheme="minorHAnsi" w:hAnsiTheme="minorHAnsi" w:cstheme="minorHAnsi"/>
          <w:i w:val="0"/>
          <w:spacing w:val="-8"/>
          <w:sz w:val="32"/>
          <w:szCs w:val="32"/>
        </w:rPr>
        <w:t xml:space="preserve"> </w:t>
      </w:r>
      <w:r w:rsidRPr="000F082E">
        <w:rPr>
          <w:rFonts w:asciiTheme="minorHAnsi" w:hAnsiTheme="minorHAnsi" w:cstheme="minorHAnsi"/>
          <w:i w:val="0"/>
          <w:sz w:val="32"/>
          <w:szCs w:val="32"/>
        </w:rPr>
        <w:t>can</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divided</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into</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new</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project.</w:t>
      </w:r>
    </w:p>
    <w:p w14:paraId="4075B1E6" w14:textId="77777777" w:rsidR="00A35096" w:rsidRPr="000F082E" w:rsidRDefault="00A35096" w:rsidP="00A35096">
      <w:pPr>
        <w:pStyle w:val="Heading2"/>
        <w:widowControl w:val="0"/>
        <w:numPr>
          <w:ilvl w:val="1"/>
          <w:numId w:val="4"/>
        </w:numPr>
        <w:tabs>
          <w:tab w:val="left" w:pos="860"/>
        </w:tabs>
        <w:autoSpaceDE w:val="0"/>
        <w:autoSpaceDN w:val="0"/>
        <w:spacing w:before="241" w:beforeAutospacing="0" w:after="0" w:afterAutospacing="0"/>
        <w:rPr>
          <w:rFonts w:asciiTheme="minorHAnsi" w:hAnsiTheme="minorHAnsi" w:cstheme="minorHAnsi"/>
          <w:sz w:val="32"/>
          <w:szCs w:val="32"/>
        </w:rPr>
      </w:pPr>
      <w:r w:rsidRPr="000F082E">
        <w:rPr>
          <w:rFonts w:asciiTheme="minorHAnsi" w:hAnsiTheme="minorHAnsi" w:cstheme="minorHAnsi"/>
          <w:w w:val="110"/>
          <w:sz w:val="32"/>
          <w:szCs w:val="32"/>
        </w:rPr>
        <w:t>Origination.</w:t>
      </w:r>
    </w:p>
    <w:p w14:paraId="7E368E5B" w14:textId="77777777" w:rsidR="00A35096" w:rsidRPr="000F082E" w:rsidRDefault="00A35096" w:rsidP="00A35096">
      <w:pPr>
        <w:pStyle w:val="BodyText"/>
        <w:spacing w:before="242" w:line="268" w:lineRule="auto"/>
        <w:ind w:right="157"/>
        <w:jc w:val="both"/>
        <w:rPr>
          <w:rFonts w:asciiTheme="minorHAnsi" w:hAnsiTheme="minorHAnsi" w:cstheme="minorHAnsi"/>
          <w:i w:val="0"/>
          <w:sz w:val="32"/>
          <w:szCs w:val="32"/>
        </w:rPr>
      </w:pPr>
      <w:r w:rsidRPr="000F082E">
        <w:rPr>
          <w:rFonts w:asciiTheme="minorHAnsi" w:hAnsiTheme="minorHAnsi" w:cstheme="minorHAnsi"/>
          <w:i w:val="0"/>
          <w:sz w:val="32"/>
          <w:szCs w:val="32"/>
        </w:rPr>
        <w:t>It</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refers</w:t>
      </w:r>
      <w:r w:rsidRPr="000F082E">
        <w:rPr>
          <w:rFonts w:asciiTheme="minorHAnsi" w:hAnsiTheme="minorHAnsi" w:cstheme="minorHAnsi"/>
          <w:i w:val="0"/>
          <w:spacing w:val="-7"/>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8"/>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8"/>
          <w:sz w:val="32"/>
          <w:szCs w:val="32"/>
        </w:rPr>
        <w:t xml:space="preserve"> </w:t>
      </w:r>
      <w:r w:rsidRPr="000F082E">
        <w:rPr>
          <w:rFonts w:asciiTheme="minorHAnsi" w:hAnsiTheme="minorHAnsi" w:cstheme="minorHAnsi"/>
          <w:i w:val="0"/>
          <w:sz w:val="32"/>
          <w:szCs w:val="32"/>
        </w:rPr>
        <w:t>work</w:t>
      </w:r>
      <w:r w:rsidRPr="000F082E">
        <w:rPr>
          <w:rFonts w:asciiTheme="minorHAnsi" w:hAnsiTheme="minorHAnsi" w:cstheme="minorHAnsi"/>
          <w:i w:val="0"/>
          <w:spacing w:val="-7"/>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8"/>
          <w:sz w:val="32"/>
          <w:szCs w:val="32"/>
        </w:rPr>
        <w:t xml:space="preserve"> </w:t>
      </w:r>
      <w:r w:rsidRPr="000F082E">
        <w:rPr>
          <w:rFonts w:asciiTheme="minorHAnsi" w:hAnsiTheme="minorHAnsi" w:cstheme="minorHAnsi"/>
          <w:i w:val="0"/>
          <w:sz w:val="32"/>
          <w:szCs w:val="32"/>
        </w:rPr>
        <w:t>investigation</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analysis</w:t>
      </w:r>
      <w:r w:rsidRPr="000F082E">
        <w:rPr>
          <w:rFonts w:asciiTheme="minorHAnsi" w:hAnsiTheme="minorHAnsi" w:cstheme="minorHAnsi"/>
          <w:i w:val="0"/>
          <w:spacing w:val="-7"/>
          <w:sz w:val="32"/>
          <w:szCs w:val="32"/>
        </w:rPr>
        <w:t xml:space="preserve"> </w:t>
      </w:r>
      <w:r w:rsidRPr="000F082E">
        <w:rPr>
          <w:rFonts w:asciiTheme="minorHAnsi" w:hAnsiTheme="minorHAnsi" w:cstheme="minorHAnsi"/>
          <w:i w:val="0"/>
          <w:sz w:val="32"/>
          <w:szCs w:val="32"/>
        </w:rPr>
        <w:t>and</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processing</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8"/>
          <w:sz w:val="32"/>
          <w:szCs w:val="32"/>
        </w:rPr>
        <w:t xml:space="preserve"> </w:t>
      </w:r>
      <w:r w:rsidRPr="000F082E">
        <w:rPr>
          <w:rFonts w:asciiTheme="minorHAnsi" w:hAnsiTheme="minorHAnsi" w:cstheme="minorHAnsi"/>
          <w:i w:val="0"/>
          <w:sz w:val="32"/>
          <w:szCs w:val="32"/>
        </w:rPr>
        <w:t>new</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project</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proposals.. It starts before an issue is actually floated in the market. This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function is done by merchant bankers who may be commercial banks, all</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India</w:t>
      </w:r>
      <w:r w:rsidRPr="000F082E">
        <w:rPr>
          <w:rFonts w:asciiTheme="minorHAnsi" w:hAnsiTheme="minorHAnsi" w:cstheme="minorHAnsi"/>
          <w:i w:val="0"/>
          <w:spacing w:val="-5"/>
          <w:sz w:val="32"/>
          <w:szCs w:val="32"/>
        </w:rPr>
        <w:t xml:space="preserve"> </w:t>
      </w:r>
      <w:r w:rsidRPr="000F082E">
        <w:rPr>
          <w:rFonts w:asciiTheme="minorHAnsi" w:hAnsiTheme="minorHAnsi" w:cstheme="minorHAnsi"/>
          <w:i w:val="0"/>
          <w:sz w:val="32"/>
          <w:szCs w:val="32"/>
        </w:rPr>
        <w:t>financial</w:t>
      </w:r>
      <w:r w:rsidRPr="000F082E">
        <w:rPr>
          <w:rFonts w:asciiTheme="minorHAnsi" w:hAnsiTheme="minorHAnsi" w:cstheme="minorHAnsi"/>
          <w:i w:val="0"/>
          <w:spacing w:val="-6"/>
          <w:sz w:val="32"/>
          <w:szCs w:val="32"/>
        </w:rPr>
        <w:t xml:space="preserve"> </w:t>
      </w:r>
      <w:r w:rsidRPr="000F082E">
        <w:rPr>
          <w:rFonts w:asciiTheme="minorHAnsi" w:hAnsiTheme="minorHAnsi" w:cstheme="minorHAnsi"/>
          <w:i w:val="0"/>
          <w:sz w:val="32"/>
          <w:szCs w:val="32"/>
        </w:rPr>
        <w:t>institutions</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or</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private</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firms.</w:t>
      </w:r>
      <w:r w:rsidRPr="000F082E">
        <w:rPr>
          <w:rFonts w:asciiTheme="minorHAnsi" w:hAnsiTheme="minorHAnsi" w:cstheme="minorHAnsi"/>
          <w:i w:val="0"/>
          <w:spacing w:val="-5"/>
          <w:sz w:val="32"/>
          <w:szCs w:val="32"/>
        </w:rPr>
        <w:t xml:space="preserve"> </w:t>
      </w:r>
      <w:r w:rsidRPr="000F082E">
        <w:rPr>
          <w:rFonts w:asciiTheme="minorHAnsi" w:hAnsiTheme="minorHAnsi" w:cstheme="minorHAnsi"/>
          <w:i w:val="0"/>
          <w:sz w:val="32"/>
          <w:szCs w:val="32"/>
        </w:rPr>
        <w:t>At</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present,</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financial</w:t>
      </w:r>
      <w:r w:rsidRPr="000F082E">
        <w:rPr>
          <w:rFonts w:asciiTheme="minorHAnsi" w:hAnsiTheme="minorHAnsi" w:cstheme="minorHAnsi"/>
          <w:i w:val="0"/>
          <w:spacing w:val="-5"/>
          <w:sz w:val="32"/>
          <w:szCs w:val="32"/>
        </w:rPr>
        <w:t xml:space="preserve"> </w:t>
      </w:r>
      <w:r w:rsidRPr="000F082E">
        <w:rPr>
          <w:rFonts w:asciiTheme="minorHAnsi" w:hAnsiTheme="minorHAnsi" w:cstheme="minorHAnsi"/>
          <w:i w:val="0"/>
          <w:sz w:val="32"/>
          <w:szCs w:val="32"/>
        </w:rPr>
        <w:t>institutions</w:t>
      </w:r>
      <w:r w:rsidRPr="000F082E">
        <w:rPr>
          <w:rFonts w:asciiTheme="minorHAnsi" w:hAnsiTheme="minorHAnsi" w:cstheme="minorHAnsi"/>
          <w:i w:val="0"/>
          <w:spacing w:val="-68"/>
          <w:sz w:val="32"/>
          <w:szCs w:val="32"/>
        </w:rPr>
        <w:t xml:space="preserve"> </w:t>
      </w:r>
      <w:r w:rsidRPr="000F082E">
        <w:rPr>
          <w:rFonts w:asciiTheme="minorHAnsi" w:hAnsiTheme="minorHAnsi" w:cstheme="minorHAnsi"/>
          <w:i w:val="0"/>
          <w:sz w:val="32"/>
          <w:szCs w:val="32"/>
        </w:rPr>
        <w:t>and private firms also perform this service is highly important the success</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issue</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depends,</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a</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large</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extent</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on</w:t>
      </w:r>
      <w:r w:rsidRPr="000F082E">
        <w:rPr>
          <w:rFonts w:asciiTheme="minorHAnsi" w:hAnsiTheme="minorHAnsi" w:cstheme="minorHAnsi"/>
          <w:i w:val="0"/>
          <w:spacing w:val="-5"/>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efficiency</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market.</w:t>
      </w:r>
    </w:p>
    <w:p w14:paraId="0E00360B" w14:textId="77777777" w:rsidR="00A35096" w:rsidRPr="000F082E" w:rsidRDefault="00A35096" w:rsidP="00A35096">
      <w:pPr>
        <w:pStyle w:val="Heading2"/>
        <w:widowControl w:val="0"/>
        <w:numPr>
          <w:ilvl w:val="1"/>
          <w:numId w:val="4"/>
        </w:numPr>
        <w:tabs>
          <w:tab w:val="left" w:pos="860"/>
        </w:tabs>
        <w:autoSpaceDE w:val="0"/>
        <w:autoSpaceDN w:val="0"/>
        <w:spacing w:before="205" w:beforeAutospacing="0" w:after="0" w:afterAutospacing="0"/>
        <w:rPr>
          <w:rFonts w:asciiTheme="minorHAnsi" w:hAnsiTheme="minorHAnsi" w:cstheme="minorHAnsi"/>
          <w:sz w:val="32"/>
          <w:szCs w:val="32"/>
        </w:rPr>
      </w:pPr>
      <w:r w:rsidRPr="000F082E">
        <w:rPr>
          <w:rFonts w:asciiTheme="minorHAnsi" w:hAnsiTheme="minorHAnsi" w:cstheme="minorHAnsi"/>
          <w:w w:val="110"/>
          <w:sz w:val="32"/>
          <w:szCs w:val="32"/>
        </w:rPr>
        <w:t>Underwriting.</w:t>
      </w:r>
    </w:p>
    <w:p w14:paraId="3925F693" w14:textId="77777777" w:rsidR="00A35096" w:rsidRPr="000F082E" w:rsidRDefault="00A35096" w:rsidP="00A35096">
      <w:pPr>
        <w:pStyle w:val="BodyText"/>
        <w:spacing w:before="242" w:line="268" w:lineRule="auto"/>
        <w:ind w:right="157"/>
        <w:jc w:val="both"/>
        <w:rPr>
          <w:rFonts w:asciiTheme="minorHAnsi" w:hAnsiTheme="minorHAnsi" w:cstheme="minorHAnsi"/>
          <w:i w:val="0"/>
          <w:sz w:val="32"/>
          <w:szCs w:val="32"/>
        </w:rPr>
      </w:pPr>
      <w:r w:rsidRPr="000F082E">
        <w:rPr>
          <w:rFonts w:asciiTheme="minorHAnsi" w:hAnsiTheme="minorHAnsi" w:cstheme="minorHAnsi"/>
          <w:i w:val="0"/>
          <w:sz w:val="32"/>
          <w:szCs w:val="32"/>
        </w:rPr>
        <w:t>It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an</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agreement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whereby</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underwriter</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promises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subscribe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specified</w:t>
      </w:r>
      <w:r w:rsidRPr="000F082E">
        <w:rPr>
          <w:rFonts w:asciiTheme="minorHAnsi" w:hAnsiTheme="minorHAnsi" w:cstheme="minorHAnsi"/>
          <w:i w:val="0"/>
          <w:spacing w:val="-8"/>
          <w:sz w:val="32"/>
          <w:szCs w:val="32"/>
        </w:rPr>
        <w:t xml:space="preserve"> </w:t>
      </w:r>
      <w:r w:rsidRPr="000F082E">
        <w:rPr>
          <w:rFonts w:asciiTheme="minorHAnsi" w:hAnsiTheme="minorHAnsi" w:cstheme="minorHAnsi"/>
          <w:i w:val="0"/>
          <w:sz w:val="32"/>
          <w:szCs w:val="32"/>
        </w:rPr>
        <w:t>number</w:t>
      </w:r>
      <w:r w:rsidRPr="000F082E">
        <w:rPr>
          <w:rFonts w:asciiTheme="minorHAnsi" w:hAnsiTheme="minorHAnsi" w:cstheme="minorHAnsi"/>
          <w:i w:val="0"/>
          <w:spacing w:val="-6"/>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5"/>
          <w:sz w:val="32"/>
          <w:szCs w:val="32"/>
        </w:rPr>
        <w:t xml:space="preserve"> </w:t>
      </w:r>
      <w:r w:rsidRPr="000F082E">
        <w:rPr>
          <w:rFonts w:asciiTheme="minorHAnsi" w:hAnsiTheme="minorHAnsi" w:cstheme="minorHAnsi"/>
          <w:i w:val="0"/>
          <w:sz w:val="32"/>
          <w:szCs w:val="32"/>
        </w:rPr>
        <w:t>shares</w:t>
      </w:r>
      <w:r w:rsidRPr="000F082E">
        <w:rPr>
          <w:rFonts w:asciiTheme="minorHAnsi" w:hAnsiTheme="minorHAnsi" w:cstheme="minorHAnsi"/>
          <w:i w:val="0"/>
          <w:spacing w:val="-6"/>
          <w:sz w:val="32"/>
          <w:szCs w:val="32"/>
        </w:rPr>
        <w:t xml:space="preserve"> </w:t>
      </w:r>
      <w:r w:rsidRPr="000F082E">
        <w:rPr>
          <w:rFonts w:asciiTheme="minorHAnsi" w:hAnsiTheme="minorHAnsi" w:cstheme="minorHAnsi"/>
          <w:i w:val="0"/>
          <w:sz w:val="32"/>
          <w:szCs w:val="32"/>
        </w:rPr>
        <w:t>or</w:t>
      </w:r>
      <w:r w:rsidRPr="000F082E">
        <w:rPr>
          <w:rFonts w:asciiTheme="minorHAnsi" w:hAnsiTheme="minorHAnsi" w:cstheme="minorHAnsi"/>
          <w:i w:val="0"/>
          <w:spacing w:val="-6"/>
          <w:sz w:val="32"/>
          <w:szCs w:val="32"/>
        </w:rPr>
        <w:t xml:space="preserve"> </w:t>
      </w:r>
      <w:r w:rsidRPr="000F082E">
        <w:rPr>
          <w:rFonts w:asciiTheme="minorHAnsi" w:hAnsiTheme="minorHAnsi" w:cstheme="minorHAnsi"/>
          <w:i w:val="0"/>
          <w:sz w:val="32"/>
          <w:szCs w:val="32"/>
        </w:rPr>
        <w:t>debentures</w:t>
      </w:r>
      <w:r w:rsidRPr="000F082E">
        <w:rPr>
          <w:rFonts w:asciiTheme="minorHAnsi" w:hAnsiTheme="minorHAnsi" w:cstheme="minorHAnsi"/>
          <w:i w:val="0"/>
          <w:spacing w:val="-5"/>
          <w:sz w:val="32"/>
          <w:szCs w:val="32"/>
        </w:rPr>
        <w:t xml:space="preserve"> </w:t>
      </w:r>
      <w:r w:rsidRPr="000F082E">
        <w:rPr>
          <w:rFonts w:asciiTheme="minorHAnsi" w:hAnsiTheme="minorHAnsi" w:cstheme="minorHAnsi"/>
          <w:i w:val="0"/>
          <w:sz w:val="32"/>
          <w:szCs w:val="32"/>
        </w:rPr>
        <w:t>or</w:t>
      </w:r>
      <w:r w:rsidRPr="000F082E">
        <w:rPr>
          <w:rFonts w:asciiTheme="minorHAnsi" w:hAnsiTheme="minorHAnsi" w:cstheme="minorHAnsi"/>
          <w:i w:val="0"/>
          <w:spacing w:val="-6"/>
          <w:sz w:val="32"/>
          <w:szCs w:val="32"/>
        </w:rPr>
        <w:t xml:space="preserve"> </w:t>
      </w:r>
      <w:r w:rsidRPr="000F082E">
        <w:rPr>
          <w:rFonts w:asciiTheme="minorHAnsi" w:hAnsiTheme="minorHAnsi" w:cstheme="minorHAnsi"/>
          <w:i w:val="0"/>
          <w:sz w:val="32"/>
          <w:szCs w:val="32"/>
        </w:rPr>
        <w:t>a</w:t>
      </w:r>
      <w:r w:rsidRPr="000F082E">
        <w:rPr>
          <w:rFonts w:asciiTheme="minorHAnsi" w:hAnsiTheme="minorHAnsi" w:cstheme="minorHAnsi"/>
          <w:i w:val="0"/>
          <w:spacing w:val="-7"/>
          <w:sz w:val="32"/>
          <w:szCs w:val="32"/>
        </w:rPr>
        <w:t xml:space="preserve"> </w:t>
      </w:r>
      <w:r w:rsidRPr="000F082E">
        <w:rPr>
          <w:rFonts w:asciiTheme="minorHAnsi" w:hAnsiTheme="minorHAnsi" w:cstheme="minorHAnsi"/>
          <w:i w:val="0"/>
          <w:sz w:val="32"/>
          <w:szCs w:val="32"/>
        </w:rPr>
        <w:t>specified</w:t>
      </w:r>
      <w:r w:rsidRPr="000F082E">
        <w:rPr>
          <w:rFonts w:asciiTheme="minorHAnsi" w:hAnsiTheme="minorHAnsi" w:cstheme="minorHAnsi"/>
          <w:i w:val="0"/>
          <w:spacing w:val="-8"/>
          <w:sz w:val="32"/>
          <w:szCs w:val="32"/>
        </w:rPr>
        <w:t xml:space="preserve"> </w:t>
      </w:r>
      <w:r w:rsidRPr="000F082E">
        <w:rPr>
          <w:rFonts w:asciiTheme="minorHAnsi" w:hAnsiTheme="minorHAnsi" w:cstheme="minorHAnsi"/>
          <w:i w:val="0"/>
          <w:sz w:val="32"/>
          <w:szCs w:val="32"/>
        </w:rPr>
        <w:t>amount</w:t>
      </w:r>
      <w:r w:rsidRPr="000F082E">
        <w:rPr>
          <w:rFonts w:asciiTheme="minorHAnsi" w:hAnsiTheme="minorHAnsi" w:cstheme="minorHAnsi"/>
          <w:i w:val="0"/>
          <w:spacing w:val="-5"/>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6"/>
          <w:sz w:val="32"/>
          <w:szCs w:val="32"/>
        </w:rPr>
        <w:t xml:space="preserve"> </w:t>
      </w:r>
      <w:r w:rsidRPr="000F082E">
        <w:rPr>
          <w:rFonts w:asciiTheme="minorHAnsi" w:hAnsiTheme="minorHAnsi" w:cstheme="minorHAnsi"/>
          <w:i w:val="0"/>
          <w:sz w:val="32"/>
          <w:szCs w:val="32"/>
        </w:rPr>
        <w:t>stock</w:t>
      </w:r>
      <w:r w:rsidRPr="000F082E">
        <w:rPr>
          <w:rFonts w:asciiTheme="minorHAnsi" w:hAnsiTheme="minorHAnsi" w:cstheme="minorHAnsi"/>
          <w:i w:val="0"/>
          <w:spacing w:val="-6"/>
          <w:sz w:val="32"/>
          <w:szCs w:val="32"/>
        </w:rPr>
        <w:t xml:space="preserve"> </w:t>
      </w:r>
      <w:r w:rsidRPr="000F082E">
        <w:rPr>
          <w:rFonts w:asciiTheme="minorHAnsi" w:hAnsiTheme="minorHAnsi" w:cstheme="minorHAnsi"/>
          <w:i w:val="0"/>
          <w:sz w:val="32"/>
          <w:szCs w:val="32"/>
        </w:rPr>
        <w:t>in</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event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public</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not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subscribing</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issue.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If</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issue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fully</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subscribed, then there is no liability for the underwriter. If a part of share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issues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remains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unsold,</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underwriter</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will</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buy</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shares.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Thus,</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underwriting</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is</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a</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guarantee</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for</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marketability</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8"/>
          <w:sz w:val="32"/>
          <w:szCs w:val="32"/>
        </w:rPr>
        <w:t xml:space="preserve"> </w:t>
      </w:r>
      <w:r w:rsidRPr="000F082E">
        <w:rPr>
          <w:rFonts w:asciiTheme="minorHAnsi" w:hAnsiTheme="minorHAnsi" w:cstheme="minorHAnsi"/>
          <w:i w:val="0"/>
          <w:sz w:val="32"/>
          <w:szCs w:val="32"/>
        </w:rPr>
        <w:t>shares.</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There</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are</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two</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types</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of underwriters in India - Institutional (LIC, UTI, IDBI, ICICI) and Non -</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institutional</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are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brokers.</w:t>
      </w:r>
    </w:p>
    <w:p w14:paraId="0071302F" w14:textId="77777777" w:rsidR="00A35096" w:rsidRPr="000F082E" w:rsidRDefault="00A35096" w:rsidP="00A35096">
      <w:pPr>
        <w:pStyle w:val="Heading2"/>
        <w:widowControl w:val="0"/>
        <w:numPr>
          <w:ilvl w:val="1"/>
          <w:numId w:val="4"/>
        </w:numPr>
        <w:tabs>
          <w:tab w:val="left" w:pos="860"/>
        </w:tabs>
        <w:autoSpaceDE w:val="0"/>
        <w:autoSpaceDN w:val="0"/>
        <w:spacing w:before="207" w:beforeAutospacing="0" w:after="0" w:afterAutospacing="0"/>
        <w:rPr>
          <w:rFonts w:asciiTheme="minorHAnsi" w:hAnsiTheme="minorHAnsi" w:cstheme="minorHAnsi"/>
          <w:sz w:val="32"/>
          <w:szCs w:val="32"/>
        </w:rPr>
      </w:pPr>
      <w:r w:rsidRPr="000F082E">
        <w:rPr>
          <w:rFonts w:asciiTheme="minorHAnsi" w:hAnsiTheme="minorHAnsi" w:cstheme="minorHAnsi"/>
          <w:w w:val="110"/>
          <w:sz w:val="32"/>
          <w:szCs w:val="32"/>
        </w:rPr>
        <w:t>Distribution.</w:t>
      </w:r>
    </w:p>
    <w:p w14:paraId="7B46F4E9" w14:textId="47EB42F6" w:rsidR="00B16770" w:rsidRPr="000F082E" w:rsidRDefault="00A35096" w:rsidP="00A35096">
      <w:pPr>
        <w:rPr>
          <w:rFonts w:cstheme="minorHAnsi"/>
          <w:sz w:val="32"/>
          <w:szCs w:val="32"/>
        </w:rPr>
      </w:pPr>
      <w:r w:rsidRPr="000F082E">
        <w:rPr>
          <w:rFonts w:cstheme="minorHAnsi"/>
          <w:sz w:val="32"/>
          <w:szCs w:val="32"/>
        </w:rPr>
        <w:t>It is the function of sale of securities to ultimate investors. This service is</w:t>
      </w:r>
      <w:r w:rsidRPr="000F082E">
        <w:rPr>
          <w:rFonts w:cstheme="minorHAnsi"/>
          <w:spacing w:val="1"/>
          <w:sz w:val="32"/>
          <w:szCs w:val="32"/>
        </w:rPr>
        <w:t xml:space="preserve"> </w:t>
      </w:r>
      <w:r w:rsidRPr="000F082E">
        <w:rPr>
          <w:rFonts w:cstheme="minorHAnsi"/>
          <w:sz w:val="32"/>
          <w:szCs w:val="32"/>
        </w:rPr>
        <w:t>performed by specialized agencies like brokers and agents who maintain a</w:t>
      </w:r>
      <w:r w:rsidRPr="000F082E">
        <w:rPr>
          <w:rFonts w:cstheme="minorHAnsi"/>
          <w:spacing w:val="-67"/>
          <w:sz w:val="32"/>
          <w:szCs w:val="32"/>
        </w:rPr>
        <w:t xml:space="preserve"> </w:t>
      </w:r>
      <w:r w:rsidRPr="000F082E">
        <w:rPr>
          <w:rFonts w:cstheme="minorHAnsi"/>
          <w:sz w:val="32"/>
          <w:szCs w:val="32"/>
        </w:rPr>
        <w:t>regular</w:t>
      </w:r>
      <w:r w:rsidRPr="000F082E">
        <w:rPr>
          <w:rFonts w:cstheme="minorHAnsi"/>
          <w:spacing w:val="-3"/>
          <w:sz w:val="32"/>
          <w:szCs w:val="32"/>
        </w:rPr>
        <w:t xml:space="preserve"> </w:t>
      </w:r>
      <w:r w:rsidRPr="000F082E">
        <w:rPr>
          <w:rFonts w:cstheme="minorHAnsi"/>
          <w:sz w:val="32"/>
          <w:szCs w:val="32"/>
        </w:rPr>
        <w:t>direct</w:t>
      </w:r>
      <w:r w:rsidRPr="000F082E">
        <w:rPr>
          <w:rFonts w:cstheme="minorHAnsi"/>
          <w:spacing w:val="-1"/>
          <w:sz w:val="32"/>
          <w:szCs w:val="32"/>
        </w:rPr>
        <w:t xml:space="preserve"> </w:t>
      </w:r>
      <w:r w:rsidRPr="000F082E">
        <w:rPr>
          <w:rFonts w:cstheme="minorHAnsi"/>
          <w:sz w:val="32"/>
          <w:szCs w:val="32"/>
        </w:rPr>
        <w:t>contact</w:t>
      </w:r>
      <w:r w:rsidRPr="000F082E">
        <w:rPr>
          <w:rFonts w:cstheme="minorHAnsi"/>
          <w:spacing w:val="-1"/>
          <w:sz w:val="32"/>
          <w:szCs w:val="32"/>
        </w:rPr>
        <w:t xml:space="preserve"> </w:t>
      </w:r>
      <w:r w:rsidRPr="000F082E">
        <w:rPr>
          <w:rFonts w:cstheme="minorHAnsi"/>
          <w:sz w:val="32"/>
          <w:szCs w:val="32"/>
        </w:rPr>
        <w:t>with</w:t>
      </w:r>
      <w:r w:rsidRPr="000F082E">
        <w:rPr>
          <w:rFonts w:cstheme="minorHAnsi"/>
          <w:spacing w:val="-2"/>
          <w:sz w:val="32"/>
          <w:szCs w:val="32"/>
        </w:rPr>
        <w:t xml:space="preserve"> </w:t>
      </w:r>
      <w:r w:rsidRPr="000F082E">
        <w:rPr>
          <w:rFonts w:cstheme="minorHAnsi"/>
          <w:sz w:val="32"/>
          <w:szCs w:val="32"/>
        </w:rPr>
        <w:t>the</w:t>
      </w:r>
      <w:r w:rsidRPr="000F082E">
        <w:rPr>
          <w:rFonts w:cstheme="minorHAnsi"/>
          <w:spacing w:val="-2"/>
          <w:sz w:val="32"/>
          <w:szCs w:val="32"/>
        </w:rPr>
        <w:t xml:space="preserve"> </w:t>
      </w:r>
      <w:r w:rsidRPr="000F082E">
        <w:rPr>
          <w:rFonts w:cstheme="minorHAnsi"/>
          <w:sz w:val="32"/>
          <w:szCs w:val="32"/>
        </w:rPr>
        <w:t>ultimate</w:t>
      </w:r>
      <w:r w:rsidRPr="000F082E">
        <w:rPr>
          <w:rFonts w:cstheme="minorHAnsi"/>
          <w:spacing w:val="-2"/>
          <w:sz w:val="32"/>
          <w:szCs w:val="32"/>
        </w:rPr>
        <w:t xml:space="preserve"> </w:t>
      </w:r>
      <w:r w:rsidRPr="000F082E">
        <w:rPr>
          <w:rFonts w:cstheme="minorHAnsi"/>
          <w:sz w:val="32"/>
          <w:szCs w:val="32"/>
        </w:rPr>
        <w:t>investors</w:t>
      </w:r>
    </w:p>
    <w:p w14:paraId="520139D9" w14:textId="77777777" w:rsidR="0051126A" w:rsidRPr="000F082E" w:rsidRDefault="0051126A" w:rsidP="0051126A">
      <w:pPr>
        <w:pStyle w:val="Heading2"/>
        <w:spacing w:before="93"/>
        <w:jc w:val="both"/>
        <w:rPr>
          <w:rFonts w:asciiTheme="minorHAnsi" w:hAnsiTheme="minorHAnsi" w:cstheme="minorHAnsi"/>
          <w:sz w:val="32"/>
          <w:szCs w:val="32"/>
        </w:rPr>
      </w:pPr>
      <w:r w:rsidRPr="000F082E">
        <w:rPr>
          <w:rFonts w:asciiTheme="minorHAnsi" w:hAnsiTheme="minorHAnsi" w:cstheme="minorHAnsi"/>
          <w:w w:val="115"/>
          <w:sz w:val="32"/>
          <w:szCs w:val="32"/>
        </w:rPr>
        <w:t>PLAYERS</w:t>
      </w:r>
      <w:r w:rsidRPr="000F082E">
        <w:rPr>
          <w:rFonts w:asciiTheme="minorHAnsi" w:hAnsiTheme="minorHAnsi" w:cstheme="minorHAnsi"/>
          <w:spacing w:val="2"/>
          <w:w w:val="115"/>
          <w:sz w:val="32"/>
          <w:szCs w:val="32"/>
        </w:rPr>
        <w:t xml:space="preserve"> </w:t>
      </w:r>
      <w:r w:rsidRPr="000F082E">
        <w:rPr>
          <w:rFonts w:asciiTheme="minorHAnsi" w:hAnsiTheme="minorHAnsi" w:cstheme="minorHAnsi"/>
          <w:w w:val="115"/>
          <w:sz w:val="32"/>
          <w:szCs w:val="32"/>
        </w:rPr>
        <w:t>IN</w:t>
      </w:r>
      <w:r w:rsidRPr="000F082E">
        <w:rPr>
          <w:rFonts w:asciiTheme="minorHAnsi" w:hAnsiTheme="minorHAnsi" w:cstheme="minorHAnsi"/>
          <w:spacing w:val="3"/>
          <w:w w:val="115"/>
          <w:sz w:val="32"/>
          <w:szCs w:val="32"/>
        </w:rPr>
        <w:t xml:space="preserve"> </w:t>
      </w:r>
      <w:r w:rsidRPr="000F082E">
        <w:rPr>
          <w:rFonts w:asciiTheme="minorHAnsi" w:hAnsiTheme="minorHAnsi" w:cstheme="minorHAnsi"/>
          <w:w w:val="115"/>
          <w:sz w:val="32"/>
          <w:szCs w:val="32"/>
        </w:rPr>
        <w:t>THE</w:t>
      </w:r>
      <w:r w:rsidRPr="000F082E">
        <w:rPr>
          <w:rFonts w:asciiTheme="minorHAnsi" w:hAnsiTheme="minorHAnsi" w:cstheme="minorHAnsi"/>
          <w:spacing w:val="6"/>
          <w:w w:val="115"/>
          <w:sz w:val="32"/>
          <w:szCs w:val="32"/>
        </w:rPr>
        <w:t xml:space="preserve"> </w:t>
      </w:r>
      <w:r w:rsidRPr="000F082E">
        <w:rPr>
          <w:rFonts w:asciiTheme="minorHAnsi" w:hAnsiTheme="minorHAnsi" w:cstheme="minorHAnsi"/>
          <w:w w:val="115"/>
          <w:sz w:val="32"/>
          <w:szCs w:val="32"/>
        </w:rPr>
        <w:t>NEW</w:t>
      </w:r>
      <w:r w:rsidRPr="000F082E">
        <w:rPr>
          <w:rFonts w:asciiTheme="minorHAnsi" w:hAnsiTheme="minorHAnsi" w:cstheme="minorHAnsi"/>
          <w:spacing w:val="5"/>
          <w:w w:val="115"/>
          <w:sz w:val="32"/>
          <w:szCs w:val="32"/>
        </w:rPr>
        <w:t xml:space="preserve"> </w:t>
      </w:r>
      <w:r w:rsidRPr="000F082E">
        <w:rPr>
          <w:rFonts w:asciiTheme="minorHAnsi" w:hAnsiTheme="minorHAnsi" w:cstheme="minorHAnsi"/>
          <w:w w:val="115"/>
          <w:sz w:val="32"/>
          <w:szCs w:val="32"/>
        </w:rPr>
        <w:t>ISSUE</w:t>
      </w:r>
      <w:r w:rsidRPr="000F082E">
        <w:rPr>
          <w:rFonts w:asciiTheme="minorHAnsi" w:hAnsiTheme="minorHAnsi" w:cstheme="minorHAnsi"/>
          <w:spacing w:val="5"/>
          <w:w w:val="115"/>
          <w:sz w:val="32"/>
          <w:szCs w:val="32"/>
        </w:rPr>
        <w:t xml:space="preserve"> </w:t>
      </w:r>
      <w:r w:rsidRPr="000F082E">
        <w:rPr>
          <w:rFonts w:asciiTheme="minorHAnsi" w:hAnsiTheme="minorHAnsi" w:cstheme="minorHAnsi"/>
          <w:w w:val="115"/>
          <w:sz w:val="32"/>
          <w:szCs w:val="32"/>
        </w:rPr>
        <w:t>MARKET</w:t>
      </w:r>
    </w:p>
    <w:p w14:paraId="141526DB" w14:textId="5DD5A9F3" w:rsidR="0051126A" w:rsidRPr="000F082E" w:rsidRDefault="0051126A" w:rsidP="0051126A">
      <w:pPr>
        <w:pStyle w:val="BodyText"/>
        <w:spacing w:before="242" w:line="268" w:lineRule="auto"/>
        <w:ind w:right="157"/>
        <w:jc w:val="both"/>
        <w:rPr>
          <w:rFonts w:asciiTheme="minorHAnsi" w:hAnsiTheme="minorHAnsi" w:cstheme="minorHAnsi"/>
          <w:i w:val="0"/>
          <w:sz w:val="32"/>
          <w:szCs w:val="32"/>
        </w:rPr>
      </w:pPr>
      <w:r w:rsidRPr="000F082E">
        <w:rPr>
          <w:rFonts w:asciiTheme="minorHAnsi" w:hAnsiTheme="minorHAnsi" w:cstheme="minorHAnsi"/>
          <w:i w:val="0"/>
          <w:sz w:val="32"/>
          <w:szCs w:val="32"/>
        </w:rPr>
        <w:t>There are many players in the new issue market. The important them are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following:</w:t>
      </w:r>
    </w:p>
    <w:p w14:paraId="4D95B592" w14:textId="77777777" w:rsidR="007B1EF9" w:rsidRPr="000F082E" w:rsidRDefault="007B1EF9" w:rsidP="007B1EF9">
      <w:pPr>
        <w:pStyle w:val="Heading2"/>
        <w:widowControl w:val="0"/>
        <w:numPr>
          <w:ilvl w:val="0"/>
          <w:numId w:val="5"/>
        </w:numPr>
        <w:tabs>
          <w:tab w:val="left" w:pos="446"/>
        </w:tabs>
        <w:autoSpaceDE w:val="0"/>
        <w:autoSpaceDN w:val="0"/>
        <w:spacing w:before="241" w:beforeAutospacing="0" w:after="0" w:afterAutospacing="0"/>
        <w:rPr>
          <w:rFonts w:asciiTheme="minorHAnsi" w:hAnsiTheme="minorHAnsi" w:cstheme="minorHAnsi"/>
          <w:sz w:val="32"/>
          <w:szCs w:val="32"/>
        </w:rPr>
      </w:pPr>
      <w:r w:rsidRPr="000F082E">
        <w:rPr>
          <w:rFonts w:asciiTheme="minorHAnsi" w:hAnsiTheme="minorHAnsi" w:cstheme="minorHAnsi"/>
          <w:w w:val="115"/>
          <w:sz w:val="32"/>
          <w:szCs w:val="32"/>
        </w:rPr>
        <w:t>Merchant Bankers</w:t>
      </w:r>
    </w:p>
    <w:p w14:paraId="03637B6F" w14:textId="77777777" w:rsidR="007B1EF9" w:rsidRPr="000F082E" w:rsidRDefault="007B1EF9" w:rsidP="007B1EF9">
      <w:pPr>
        <w:pStyle w:val="BodyText"/>
        <w:spacing w:line="268" w:lineRule="auto"/>
        <w:ind w:right="157"/>
        <w:jc w:val="both"/>
        <w:rPr>
          <w:rFonts w:asciiTheme="minorHAnsi" w:hAnsiTheme="minorHAnsi" w:cstheme="minorHAnsi"/>
          <w:i w:val="0"/>
          <w:sz w:val="32"/>
          <w:szCs w:val="32"/>
        </w:rPr>
      </w:pPr>
      <w:r w:rsidRPr="000F082E">
        <w:rPr>
          <w:rFonts w:asciiTheme="minorHAnsi" w:hAnsiTheme="minorHAnsi" w:cstheme="minorHAnsi"/>
          <w:i w:val="0"/>
          <w:sz w:val="32"/>
          <w:szCs w:val="32"/>
        </w:rPr>
        <w:t>They</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are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issue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managers,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lead</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managers,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co</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managers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and</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are</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responsible to the company and SEBI. Their functions and working are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described</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in</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a</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separate chapter.</w:t>
      </w:r>
    </w:p>
    <w:p w14:paraId="1A82F930" w14:textId="77777777" w:rsidR="007B1EF9" w:rsidRPr="000F082E" w:rsidRDefault="007B1EF9" w:rsidP="007B1EF9">
      <w:pPr>
        <w:pStyle w:val="Heading2"/>
        <w:widowControl w:val="0"/>
        <w:numPr>
          <w:ilvl w:val="0"/>
          <w:numId w:val="5"/>
        </w:numPr>
        <w:tabs>
          <w:tab w:val="left" w:pos="446"/>
        </w:tabs>
        <w:autoSpaceDE w:val="0"/>
        <w:autoSpaceDN w:val="0"/>
        <w:spacing w:before="203" w:beforeAutospacing="0" w:after="0" w:afterAutospacing="0"/>
        <w:rPr>
          <w:rFonts w:asciiTheme="minorHAnsi" w:hAnsiTheme="minorHAnsi" w:cstheme="minorHAnsi"/>
          <w:sz w:val="32"/>
          <w:szCs w:val="32"/>
        </w:rPr>
      </w:pPr>
      <w:r w:rsidRPr="000F082E">
        <w:rPr>
          <w:rFonts w:asciiTheme="minorHAnsi" w:hAnsiTheme="minorHAnsi" w:cstheme="minorHAnsi"/>
          <w:w w:val="110"/>
          <w:sz w:val="32"/>
          <w:szCs w:val="32"/>
        </w:rPr>
        <w:t>Registrars</w:t>
      </w:r>
      <w:r w:rsidRPr="000F082E">
        <w:rPr>
          <w:rFonts w:asciiTheme="minorHAnsi" w:hAnsiTheme="minorHAnsi" w:cstheme="minorHAnsi"/>
          <w:spacing w:val="29"/>
          <w:w w:val="110"/>
          <w:sz w:val="32"/>
          <w:szCs w:val="32"/>
        </w:rPr>
        <w:t xml:space="preserve"> </w:t>
      </w:r>
      <w:r w:rsidRPr="000F082E">
        <w:rPr>
          <w:rFonts w:asciiTheme="minorHAnsi" w:hAnsiTheme="minorHAnsi" w:cstheme="minorHAnsi"/>
          <w:w w:val="110"/>
          <w:sz w:val="32"/>
          <w:szCs w:val="32"/>
        </w:rPr>
        <w:t>to</w:t>
      </w:r>
      <w:r w:rsidRPr="000F082E">
        <w:rPr>
          <w:rFonts w:asciiTheme="minorHAnsi" w:hAnsiTheme="minorHAnsi" w:cstheme="minorHAnsi"/>
          <w:spacing w:val="28"/>
          <w:w w:val="110"/>
          <w:sz w:val="32"/>
          <w:szCs w:val="32"/>
        </w:rPr>
        <w:t xml:space="preserve"> </w:t>
      </w:r>
      <w:r w:rsidRPr="000F082E">
        <w:rPr>
          <w:rFonts w:asciiTheme="minorHAnsi" w:hAnsiTheme="minorHAnsi" w:cstheme="minorHAnsi"/>
          <w:w w:val="110"/>
          <w:sz w:val="32"/>
          <w:szCs w:val="32"/>
        </w:rPr>
        <w:t>the</w:t>
      </w:r>
      <w:r w:rsidRPr="000F082E">
        <w:rPr>
          <w:rFonts w:asciiTheme="minorHAnsi" w:hAnsiTheme="minorHAnsi" w:cstheme="minorHAnsi"/>
          <w:spacing w:val="28"/>
          <w:w w:val="110"/>
          <w:sz w:val="32"/>
          <w:szCs w:val="32"/>
        </w:rPr>
        <w:t xml:space="preserve"> </w:t>
      </w:r>
      <w:r w:rsidRPr="000F082E">
        <w:rPr>
          <w:rFonts w:asciiTheme="minorHAnsi" w:hAnsiTheme="minorHAnsi" w:cstheme="minorHAnsi"/>
          <w:w w:val="110"/>
          <w:sz w:val="32"/>
          <w:szCs w:val="32"/>
        </w:rPr>
        <w:t>Issue</w:t>
      </w:r>
    </w:p>
    <w:p w14:paraId="2D9E7231" w14:textId="77777777" w:rsidR="007B1EF9" w:rsidRPr="000F082E" w:rsidRDefault="007B1EF9" w:rsidP="007B1EF9">
      <w:pPr>
        <w:pStyle w:val="BodyText"/>
        <w:spacing w:before="242" w:line="268" w:lineRule="auto"/>
        <w:ind w:right="156"/>
        <w:jc w:val="both"/>
        <w:rPr>
          <w:rFonts w:asciiTheme="minorHAnsi" w:hAnsiTheme="minorHAnsi" w:cstheme="minorHAnsi"/>
          <w:i w:val="0"/>
          <w:sz w:val="32"/>
          <w:szCs w:val="32"/>
        </w:rPr>
      </w:pPr>
      <w:r w:rsidRPr="000F082E">
        <w:rPr>
          <w:rFonts w:asciiTheme="minorHAnsi" w:hAnsiTheme="minorHAnsi" w:cstheme="minorHAnsi"/>
          <w:i w:val="0"/>
          <w:sz w:val="32"/>
          <w:szCs w:val="32"/>
        </w:rPr>
        <w:t>Registrars are an important category of intermediaries who undertake all</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activities connected with new issue management. They are appointed by</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company</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in</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consultation</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with</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merchant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bankers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issue.</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Registrars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have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major</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role,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next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merchant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bankers,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in</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respect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servicing of investors. The role of Registrar in the pre - issue, during 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currency</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issue,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pre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allotment,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allotment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and</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post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allotment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are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described</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below:</w:t>
      </w:r>
    </w:p>
    <w:p w14:paraId="4D70B4B8" w14:textId="77777777" w:rsidR="007B1EF9" w:rsidRPr="000F082E" w:rsidRDefault="007B1EF9" w:rsidP="007B1EF9">
      <w:pPr>
        <w:pStyle w:val="Heading2"/>
        <w:spacing w:before="206"/>
        <w:jc w:val="both"/>
        <w:rPr>
          <w:rFonts w:asciiTheme="minorHAnsi" w:hAnsiTheme="minorHAnsi" w:cstheme="minorHAnsi"/>
          <w:sz w:val="32"/>
          <w:szCs w:val="32"/>
        </w:rPr>
      </w:pPr>
      <w:r w:rsidRPr="000F082E">
        <w:rPr>
          <w:rFonts w:asciiTheme="minorHAnsi" w:hAnsiTheme="minorHAnsi" w:cstheme="minorHAnsi"/>
          <w:w w:val="105"/>
          <w:sz w:val="32"/>
          <w:szCs w:val="32"/>
        </w:rPr>
        <w:t>Role</w:t>
      </w:r>
      <w:r w:rsidRPr="000F082E">
        <w:rPr>
          <w:rFonts w:asciiTheme="minorHAnsi" w:hAnsiTheme="minorHAnsi" w:cstheme="minorHAnsi"/>
          <w:spacing w:val="37"/>
          <w:w w:val="105"/>
          <w:sz w:val="32"/>
          <w:szCs w:val="32"/>
        </w:rPr>
        <w:t xml:space="preserve"> </w:t>
      </w:r>
      <w:r w:rsidRPr="000F082E">
        <w:rPr>
          <w:rFonts w:asciiTheme="minorHAnsi" w:hAnsiTheme="minorHAnsi" w:cstheme="minorHAnsi"/>
          <w:w w:val="105"/>
          <w:sz w:val="32"/>
          <w:szCs w:val="32"/>
        </w:rPr>
        <w:t>of</w:t>
      </w:r>
      <w:r w:rsidRPr="000F082E">
        <w:rPr>
          <w:rFonts w:asciiTheme="minorHAnsi" w:hAnsiTheme="minorHAnsi" w:cstheme="minorHAnsi"/>
          <w:spacing w:val="40"/>
          <w:w w:val="105"/>
          <w:sz w:val="32"/>
          <w:szCs w:val="32"/>
        </w:rPr>
        <w:t xml:space="preserve"> </w:t>
      </w:r>
      <w:r w:rsidRPr="000F082E">
        <w:rPr>
          <w:rFonts w:asciiTheme="minorHAnsi" w:hAnsiTheme="minorHAnsi" w:cstheme="minorHAnsi"/>
          <w:w w:val="105"/>
          <w:sz w:val="32"/>
          <w:szCs w:val="32"/>
        </w:rPr>
        <w:t>Registrar</w:t>
      </w:r>
      <w:r w:rsidRPr="000F082E">
        <w:rPr>
          <w:rFonts w:asciiTheme="minorHAnsi" w:hAnsiTheme="minorHAnsi" w:cstheme="minorHAnsi"/>
          <w:spacing w:val="39"/>
          <w:w w:val="105"/>
          <w:sz w:val="32"/>
          <w:szCs w:val="32"/>
        </w:rPr>
        <w:t xml:space="preserve"> </w:t>
      </w:r>
      <w:r w:rsidRPr="000F082E">
        <w:rPr>
          <w:rFonts w:asciiTheme="minorHAnsi" w:hAnsiTheme="minorHAnsi" w:cstheme="minorHAnsi"/>
          <w:w w:val="105"/>
          <w:sz w:val="32"/>
          <w:szCs w:val="32"/>
        </w:rPr>
        <w:t>in</w:t>
      </w:r>
      <w:r w:rsidRPr="000F082E">
        <w:rPr>
          <w:rFonts w:asciiTheme="minorHAnsi" w:hAnsiTheme="minorHAnsi" w:cstheme="minorHAnsi"/>
          <w:spacing w:val="38"/>
          <w:w w:val="105"/>
          <w:sz w:val="32"/>
          <w:szCs w:val="32"/>
        </w:rPr>
        <w:t xml:space="preserve"> </w:t>
      </w:r>
      <w:r w:rsidRPr="000F082E">
        <w:rPr>
          <w:rFonts w:asciiTheme="minorHAnsi" w:hAnsiTheme="minorHAnsi" w:cstheme="minorHAnsi"/>
          <w:w w:val="105"/>
          <w:sz w:val="32"/>
          <w:szCs w:val="32"/>
        </w:rPr>
        <w:t>Pre</w:t>
      </w:r>
      <w:r w:rsidRPr="000F082E">
        <w:rPr>
          <w:rFonts w:asciiTheme="minorHAnsi" w:hAnsiTheme="minorHAnsi" w:cstheme="minorHAnsi"/>
          <w:spacing w:val="38"/>
          <w:w w:val="105"/>
          <w:sz w:val="32"/>
          <w:szCs w:val="32"/>
        </w:rPr>
        <w:t xml:space="preserve"> </w:t>
      </w:r>
      <w:r w:rsidRPr="000F082E">
        <w:rPr>
          <w:rFonts w:asciiTheme="minorHAnsi" w:hAnsiTheme="minorHAnsi" w:cstheme="minorHAnsi"/>
          <w:sz w:val="32"/>
          <w:szCs w:val="32"/>
        </w:rPr>
        <w:t>-</w:t>
      </w:r>
      <w:r w:rsidRPr="000F082E">
        <w:rPr>
          <w:rFonts w:asciiTheme="minorHAnsi" w:hAnsiTheme="minorHAnsi" w:cstheme="minorHAnsi"/>
          <w:spacing w:val="42"/>
          <w:sz w:val="32"/>
          <w:szCs w:val="32"/>
        </w:rPr>
        <w:t xml:space="preserve"> </w:t>
      </w:r>
      <w:r w:rsidRPr="000F082E">
        <w:rPr>
          <w:rFonts w:asciiTheme="minorHAnsi" w:hAnsiTheme="minorHAnsi" w:cstheme="minorHAnsi"/>
          <w:w w:val="105"/>
          <w:sz w:val="32"/>
          <w:szCs w:val="32"/>
        </w:rPr>
        <w:t>issue</w:t>
      </w:r>
    </w:p>
    <w:p w14:paraId="77D1DC12" w14:textId="77777777" w:rsidR="007B1EF9" w:rsidRPr="000F082E" w:rsidRDefault="007B1EF9" w:rsidP="007B1EF9">
      <w:pPr>
        <w:pStyle w:val="ListParagraph"/>
        <w:numPr>
          <w:ilvl w:val="0"/>
          <w:numId w:val="6"/>
        </w:numPr>
        <w:tabs>
          <w:tab w:val="left" w:pos="440"/>
        </w:tabs>
        <w:spacing w:before="242"/>
        <w:rPr>
          <w:rFonts w:asciiTheme="minorHAnsi" w:hAnsiTheme="minorHAnsi" w:cstheme="minorHAnsi"/>
          <w:sz w:val="32"/>
          <w:szCs w:val="32"/>
        </w:rPr>
      </w:pPr>
      <w:r w:rsidRPr="000F082E">
        <w:rPr>
          <w:rFonts w:asciiTheme="minorHAnsi" w:hAnsiTheme="minorHAnsi" w:cstheme="minorHAnsi"/>
          <w:sz w:val="32"/>
          <w:szCs w:val="32"/>
        </w:rPr>
        <w:t>Suggest</w:t>
      </w:r>
      <w:r w:rsidRPr="000F082E">
        <w:rPr>
          <w:rFonts w:asciiTheme="minorHAnsi" w:hAnsiTheme="minorHAnsi" w:cstheme="minorHAnsi"/>
          <w:spacing w:val="-12"/>
          <w:sz w:val="32"/>
          <w:szCs w:val="32"/>
        </w:rPr>
        <w:t xml:space="preserve"> </w:t>
      </w:r>
      <w:r w:rsidRPr="000F082E">
        <w:rPr>
          <w:rFonts w:asciiTheme="minorHAnsi" w:hAnsiTheme="minorHAnsi" w:cstheme="minorHAnsi"/>
          <w:sz w:val="32"/>
          <w:szCs w:val="32"/>
        </w:rPr>
        <w:t>draft</w:t>
      </w:r>
      <w:r w:rsidRPr="000F082E">
        <w:rPr>
          <w:rFonts w:asciiTheme="minorHAnsi" w:hAnsiTheme="minorHAnsi" w:cstheme="minorHAnsi"/>
          <w:spacing w:val="-12"/>
          <w:sz w:val="32"/>
          <w:szCs w:val="32"/>
        </w:rPr>
        <w:t xml:space="preserve"> </w:t>
      </w:r>
      <w:r w:rsidRPr="000F082E">
        <w:rPr>
          <w:rFonts w:asciiTheme="minorHAnsi" w:hAnsiTheme="minorHAnsi" w:cstheme="minorHAnsi"/>
          <w:sz w:val="32"/>
          <w:szCs w:val="32"/>
        </w:rPr>
        <w:t>application</w:t>
      </w:r>
      <w:r w:rsidRPr="000F082E">
        <w:rPr>
          <w:rFonts w:asciiTheme="minorHAnsi" w:hAnsiTheme="minorHAnsi" w:cstheme="minorHAnsi"/>
          <w:spacing w:val="-13"/>
          <w:sz w:val="32"/>
          <w:szCs w:val="32"/>
        </w:rPr>
        <w:t xml:space="preserve"> </w:t>
      </w:r>
      <w:r w:rsidRPr="000F082E">
        <w:rPr>
          <w:rFonts w:asciiTheme="minorHAnsi" w:hAnsiTheme="minorHAnsi" w:cstheme="minorHAnsi"/>
          <w:sz w:val="32"/>
          <w:szCs w:val="32"/>
        </w:rPr>
        <w:t>form</w:t>
      </w:r>
      <w:r w:rsidRPr="000F082E">
        <w:rPr>
          <w:rFonts w:asciiTheme="minorHAnsi" w:hAnsiTheme="minorHAnsi" w:cstheme="minorHAnsi"/>
          <w:spacing w:val="-12"/>
          <w:sz w:val="32"/>
          <w:szCs w:val="32"/>
        </w:rPr>
        <w:t xml:space="preserve"> </w:t>
      </w:r>
      <w:r w:rsidRPr="000F082E">
        <w:rPr>
          <w:rFonts w:asciiTheme="minorHAnsi" w:hAnsiTheme="minorHAnsi" w:cstheme="minorHAnsi"/>
          <w:sz w:val="32"/>
          <w:szCs w:val="32"/>
        </w:rPr>
        <w:t>to</w:t>
      </w:r>
      <w:r w:rsidRPr="000F082E">
        <w:rPr>
          <w:rFonts w:asciiTheme="minorHAnsi" w:hAnsiTheme="minorHAnsi" w:cstheme="minorHAnsi"/>
          <w:spacing w:val="-12"/>
          <w:sz w:val="32"/>
          <w:szCs w:val="32"/>
        </w:rPr>
        <w:t xml:space="preserve"> </w:t>
      </w:r>
      <w:r w:rsidRPr="000F082E">
        <w:rPr>
          <w:rFonts w:asciiTheme="minorHAnsi" w:hAnsiTheme="minorHAnsi" w:cstheme="minorHAnsi"/>
          <w:sz w:val="32"/>
          <w:szCs w:val="32"/>
        </w:rPr>
        <w:t>the</w:t>
      </w:r>
      <w:r w:rsidRPr="000F082E">
        <w:rPr>
          <w:rFonts w:asciiTheme="minorHAnsi" w:hAnsiTheme="minorHAnsi" w:cstheme="minorHAnsi"/>
          <w:spacing w:val="-13"/>
          <w:sz w:val="32"/>
          <w:szCs w:val="32"/>
        </w:rPr>
        <w:t xml:space="preserve"> </w:t>
      </w:r>
      <w:r w:rsidRPr="000F082E">
        <w:rPr>
          <w:rFonts w:asciiTheme="minorHAnsi" w:hAnsiTheme="minorHAnsi" w:cstheme="minorHAnsi"/>
          <w:sz w:val="32"/>
          <w:szCs w:val="32"/>
        </w:rPr>
        <w:t>merchant</w:t>
      </w:r>
      <w:r w:rsidRPr="000F082E">
        <w:rPr>
          <w:rFonts w:asciiTheme="minorHAnsi" w:hAnsiTheme="minorHAnsi" w:cstheme="minorHAnsi"/>
          <w:spacing w:val="-11"/>
          <w:sz w:val="32"/>
          <w:szCs w:val="32"/>
        </w:rPr>
        <w:t xml:space="preserve"> </w:t>
      </w:r>
      <w:r w:rsidRPr="000F082E">
        <w:rPr>
          <w:rFonts w:asciiTheme="minorHAnsi" w:hAnsiTheme="minorHAnsi" w:cstheme="minorHAnsi"/>
          <w:sz w:val="32"/>
          <w:szCs w:val="32"/>
        </w:rPr>
        <w:t>bankers.</w:t>
      </w:r>
    </w:p>
    <w:p w14:paraId="48F48797" w14:textId="77777777" w:rsidR="007B1EF9" w:rsidRPr="000F082E" w:rsidRDefault="007B1EF9" w:rsidP="007B1EF9">
      <w:pPr>
        <w:pStyle w:val="ListParagraph"/>
        <w:numPr>
          <w:ilvl w:val="0"/>
          <w:numId w:val="6"/>
        </w:numPr>
        <w:tabs>
          <w:tab w:val="left" w:pos="482"/>
        </w:tabs>
        <w:spacing w:line="268" w:lineRule="auto"/>
        <w:ind w:left="140" w:right="157" w:firstLine="0"/>
        <w:rPr>
          <w:rFonts w:asciiTheme="minorHAnsi" w:hAnsiTheme="minorHAnsi" w:cstheme="minorHAnsi"/>
          <w:sz w:val="32"/>
          <w:szCs w:val="32"/>
        </w:rPr>
      </w:pPr>
      <w:r w:rsidRPr="000F082E">
        <w:rPr>
          <w:rFonts w:asciiTheme="minorHAnsi" w:hAnsiTheme="minorHAnsi" w:cstheme="minorHAnsi"/>
          <w:sz w:val="32"/>
          <w:szCs w:val="32"/>
        </w:rPr>
        <w:t>Help</w:t>
      </w:r>
      <w:r w:rsidRPr="000F082E">
        <w:rPr>
          <w:rFonts w:asciiTheme="minorHAnsi" w:hAnsiTheme="minorHAnsi" w:cstheme="minorHAnsi"/>
          <w:spacing w:val="29"/>
          <w:sz w:val="32"/>
          <w:szCs w:val="32"/>
        </w:rPr>
        <w:t xml:space="preserve"> </w:t>
      </w:r>
      <w:r w:rsidRPr="000F082E">
        <w:rPr>
          <w:rFonts w:asciiTheme="minorHAnsi" w:hAnsiTheme="minorHAnsi" w:cstheme="minorHAnsi"/>
          <w:sz w:val="32"/>
          <w:szCs w:val="32"/>
        </w:rPr>
        <w:t>identifying</w:t>
      </w:r>
      <w:r w:rsidRPr="000F082E">
        <w:rPr>
          <w:rFonts w:asciiTheme="minorHAnsi" w:hAnsiTheme="minorHAnsi" w:cstheme="minorHAnsi"/>
          <w:spacing w:val="29"/>
          <w:sz w:val="32"/>
          <w:szCs w:val="32"/>
        </w:rPr>
        <w:t xml:space="preserve"> </w:t>
      </w:r>
      <w:r w:rsidRPr="000F082E">
        <w:rPr>
          <w:rFonts w:asciiTheme="minorHAnsi" w:hAnsiTheme="minorHAnsi" w:cstheme="minorHAnsi"/>
          <w:sz w:val="32"/>
          <w:szCs w:val="32"/>
        </w:rPr>
        <w:t>the</w:t>
      </w:r>
      <w:r w:rsidRPr="000F082E">
        <w:rPr>
          <w:rFonts w:asciiTheme="minorHAnsi" w:hAnsiTheme="minorHAnsi" w:cstheme="minorHAnsi"/>
          <w:spacing w:val="30"/>
          <w:sz w:val="32"/>
          <w:szCs w:val="32"/>
        </w:rPr>
        <w:t xml:space="preserve"> </w:t>
      </w:r>
      <w:r w:rsidRPr="000F082E">
        <w:rPr>
          <w:rFonts w:asciiTheme="minorHAnsi" w:hAnsiTheme="minorHAnsi" w:cstheme="minorHAnsi"/>
          <w:sz w:val="32"/>
          <w:szCs w:val="32"/>
        </w:rPr>
        <w:t>collection</w:t>
      </w:r>
      <w:r w:rsidRPr="000F082E">
        <w:rPr>
          <w:rFonts w:asciiTheme="minorHAnsi" w:hAnsiTheme="minorHAnsi" w:cstheme="minorHAnsi"/>
          <w:spacing w:val="29"/>
          <w:sz w:val="32"/>
          <w:szCs w:val="32"/>
        </w:rPr>
        <w:t xml:space="preserve"> </w:t>
      </w:r>
      <w:r w:rsidRPr="000F082E">
        <w:rPr>
          <w:rFonts w:asciiTheme="minorHAnsi" w:hAnsiTheme="minorHAnsi" w:cstheme="minorHAnsi"/>
          <w:sz w:val="32"/>
          <w:szCs w:val="32"/>
        </w:rPr>
        <w:t>centres.</w:t>
      </w:r>
      <w:r w:rsidRPr="000F082E">
        <w:rPr>
          <w:rFonts w:asciiTheme="minorHAnsi" w:hAnsiTheme="minorHAnsi" w:cstheme="minorHAnsi"/>
          <w:spacing w:val="29"/>
          <w:sz w:val="32"/>
          <w:szCs w:val="32"/>
        </w:rPr>
        <w:t xml:space="preserve"> </w:t>
      </w:r>
      <w:r w:rsidRPr="000F082E">
        <w:rPr>
          <w:rFonts w:asciiTheme="minorHAnsi" w:hAnsiTheme="minorHAnsi" w:cstheme="minorHAnsi"/>
          <w:sz w:val="32"/>
          <w:szCs w:val="32"/>
        </w:rPr>
        <w:t>The</w:t>
      </w:r>
      <w:r w:rsidRPr="000F082E">
        <w:rPr>
          <w:rFonts w:asciiTheme="minorHAnsi" w:hAnsiTheme="minorHAnsi" w:cstheme="minorHAnsi"/>
          <w:spacing w:val="30"/>
          <w:sz w:val="32"/>
          <w:szCs w:val="32"/>
        </w:rPr>
        <w:t xml:space="preserve"> </w:t>
      </w:r>
      <w:r w:rsidRPr="000F082E">
        <w:rPr>
          <w:rFonts w:asciiTheme="minorHAnsi" w:hAnsiTheme="minorHAnsi" w:cstheme="minorHAnsi"/>
          <w:sz w:val="32"/>
          <w:szCs w:val="32"/>
        </w:rPr>
        <w:t>choice</w:t>
      </w:r>
      <w:r w:rsidRPr="000F082E">
        <w:rPr>
          <w:rFonts w:asciiTheme="minorHAnsi" w:hAnsiTheme="minorHAnsi" w:cstheme="minorHAnsi"/>
          <w:spacing w:val="29"/>
          <w:sz w:val="32"/>
          <w:szCs w:val="32"/>
        </w:rPr>
        <w:t xml:space="preserve"> </w:t>
      </w:r>
      <w:r w:rsidRPr="000F082E">
        <w:rPr>
          <w:rFonts w:asciiTheme="minorHAnsi" w:hAnsiTheme="minorHAnsi" w:cstheme="minorHAnsi"/>
          <w:sz w:val="32"/>
          <w:szCs w:val="32"/>
        </w:rPr>
        <w:t>of</w:t>
      </w:r>
      <w:r w:rsidRPr="000F082E">
        <w:rPr>
          <w:rFonts w:asciiTheme="minorHAnsi" w:hAnsiTheme="minorHAnsi" w:cstheme="minorHAnsi"/>
          <w:spacing w:val="30"/>
          <w:sz w:val="32"/>
          <w:szCs w:val="32"/>
        </w:rPr>
        <w:t xml:space="preserve"> </w:t>
      </w:r>
      <w:r w:rsidRPr="000F082E">
        <w:rPr>
          <w:rFonts w:asciiTheme="minorHAnsi" w:hAnsiTheme="minorHAnsi" w:cstheme="minorHAnsi"/>
          <w:sz w:val="32"/>
          <w:szCs w:val="32"/>
        </w:rPr>
        <w:t>collection</w:t>
      </w:r>
      <w:r w:rsidRPr="000F082E">
        <w:rPr>
          <w:rFonts w:asciiTheme="minorHAnsi" w:hAnsiTheme="minorHAnsi" w:cstheme="minorHAnsi"/>
          <w:spacing w:val="30"/>
          <w:sz w:val="32"/>
          <w:szCs w:val="32"/>
        </w:rPr>
        <w:t xml:space="preserve"> </w:t>
      </w:r>
      <w:r w:rsidRPr="000F082E">
        <w:rPr>
          <w:rFonts w:asciiTheme="minorHAnsi" w:hAnsiTheme="minorHAnsi" w:cstheme="minorHAnsi"/>
          <w:sz w:val="32"/>
          <w:szCs w:val="32"/>
        </w:rPr>
        <w:t>centre</w:t>
      </w:r>
      <w:r w:rsidRPr="000F082E">
        <w:rPr>
          <w:rFonts w:asciiTheme="minorHAnsi" w:hAnsiTheme="minorHAnsi" w:cstheme="minorHAnsi"/>
          <w:spacing w:val="-67"/>
          <w:sz w:val="32"/>
          <w:szCs w:val="32"/>
        </w:rPr>
        <w:t xml:space="preserve"> </w:t>
      </w:r>
      <w:r w:rsidRPr="000F082E">
        <w:rPr>
          <w:rFonts w:asciiTheme="minorHAnsi" w:hAnsiTheme="minorHAnsi" w:cstheme="minorHAnsi"/>
          <w:sz w:val="32"/>
          <w:szCs w:val="32"/>
        </w:rPr>
        <w:t>and</w:t>
      </w:r>
      <w:r w:rsidRPr="000F082E">
        <w:rPr>
          <w:rFonts w:asciiTheme="minorHAnsi" w:hAnsiTheme="minorHAnsi" w:cstheme="minorHAnsi"/>
          <w:spacing w:val="-4"/>
          <w:sz w:val="32"/>
          <w:szCs w:val="32"/>
        </w:rPr>
        <w:t xml:space="preserve"> </w:t>
      </w:r>
      <w:r w:rsidRPr="000F082E">
        <w:rPr>
          <w:rFonts w:asciiTheme="minorHAnsi" w:hAnsiTheme="minorHAnsi" w:cstheme="minorHAnsi"/>
          <w:sz w:val="32"/>
          <w:szCs w:val="32"/>
        </w:rPr>
        <w:t>of</w:t>
      </w:r>
      <w:r w:rsidRPr="000F082E">
        <w:rPr>
          <w:rFonts w:asciiTheme="minorHAnsi" w:hAnsiTheme="minorHAnsi" w:cstheme="minorHAnsi"/>
          <w:spacing w:val="-2"/>
          <w:sz w:val="32"/>
          <w:szCs w:val="32"/>
        </w:rPr>
        <w:t xml:space="preserve"> </w:t>
      </w:r>
      <w:r w:rsidRPr="000F082E">
        <w:rPr>
          <w:rFonts w:asciiTheme="minorHAnsi" w:hAnsiTheme="minorHAnsi" w:cstheme="minorHAnsi"/>
          <w:sz w:val="32"/>
          <w:szCs w:val="32"/>
        </w:rPr>
        <w:t>collecting</w:t>
      </w:r>
      <w:r w:rsidRPr="000F082E">
        <w:rPr>
          <w:rFonts w:asciiTheme="minorHAnsi" w:hAnsiTheme="minorHAnsi" w:cstheme="minorHAnsi"/>
          <w:spacing w:val="-4"/>
          <w:sz w:val="32"/>
          <w:szCs w:val="32"/>
        </w:rPr>
        <w:t xml:space="preserve"> </w:t>
      </w:r>
      <w:r w:rsidRPr="000F082E">
        <w:rPr>
          <w:rFonts w:asciiTheme="minorHAnsi" w:hAnsiTheme="minorHAnsi" w:cstheme="minorHAnsi"/>
          <w:sz w:val="32"/>
          <w:szCs w:val="32"/>
        </w:rPr>
        <w:t>banker</w:t>
      </w:r>
      <w:r w:rsidRPr="000F082E">
        <w:rPr>
          <w:rFonts w:asciiTheme="minorHAnsi" w:hAnsiTheme="minorHAnsi" w:cstheme="minorHAnsi"/>
          <w:spacing w:val="-3"/>
          <w:sz w:val="32"/>
          <w:szCs w:val="32"/>
        </w:rPr>
        <w:t xml:space="preserve"> </w:t>
      </w:r>
      <w:r w:rsidRPr="000F082E">
        <w:rPr>
          <w:rFonts w:asciiTheme="minorHAnsi" w:hAnsiTheme="minorHAnsi" w:cstheme="minorHAnsi"/>
          <w:sz w:val="32"/>
          <w:szCs w:val="32"/>
        </w:rPr>
        <w:t>is</w:t>
      </w:r>
      <w:r w:rsidRPr="000F082E">
        <w:rPr>
          <w:rFonts w:asciiTheme="minorHAnsi" w:hAnsiTheme="minorHAnsi" w:cstheme="minorHAnsi"/>
          <w:spacing w:val="-2"/>
          <w:sz w:val="32"/>
          <w:szCs w:val="32"/>
        </w:rPr>
        <w:t xml:space="preserve"> </w:t>
      </w:r>
      <w:r w:rsidRPr="000F082E">
        <w:rPr>
          <w:rFonts w:asciiTheme="minorHAnsi" w:hAnsiTheme="minorHAnsi" w:cstheme="minorHAnsi"/>
          <w:sz w:val="32"/>
          <w:szCs w:val="32"/>
        </w:rPr>
        <w:t>critical</w:t>
      </w:r>
      <w:r w:rsidRPr="000F082E">
        <w:rPr>
          <w:rFonts w:asciiTheme="minorHAnsi" w:hAnsiTheme="minorHAnsi" w:cstheme="minorHAnsi"/>
          <w:spacing w:val="-4"/>
          <w:sz w:val="32"/>
          <w:szCs w:val="32"/>
        </w:rPr>
        <w:t xml:space="preserve"> </w:t>
      </w:r>
      <w:r w:rsidRPr="000F082E">
        <w:rPr>
          <w:rFonts w:asciiTheme="minorHAnsi" w:hAnsiTheme="minorHAnsi" w:cstheme="minorHAnsi"/>
          <w:sz w:val="32"/>
          <w:szCs w:val="32"/>
        </w:rPr>
        <w:t>to</w:t>
      </w:r>
      <w:r w:rsidRPr="000F082E">
        <w:rPr>
          <w:rFonts w:asciiTheme="minorHAnsi" w:hAnsiTheme="minorHAnsi" w:cstheme="minorHAnsi"/>
          <w:spacing w:val="-2"/>
          <w:sz w:val="32"/>
          <w:szCs w:val="32"/>
        </w:rPr>
        <w:t xml:space="preserve"> </w:t>
      </w:r>
      <w:r w:rsidRPr="000F082E">
        <w:rPr>
          <w:rFonts w:asciiTheme="minorHAnsi" w:hAnsiTheme="minorHAnsi" w:cstheme="minorHAnsi"/>
          <w:sz w:val="32"/>
          <w:szCs w:val="32"/>
        </w:rPr>
        <w:t>the</w:t>
      </w:r>
      <w:r w:rsidRPr="000F082E">
        <w:rPr>
          <w:rFonts w:asciiTheme="minorHAnsi" w:hAnsiTheme="minorHAnsi" w:cstheme="minorHAnsi"/>
          <w:spacing w:val="-3"/>
          <w:sz w:val="32"/>
          <w:szCs w:val="32"/>
        </w:rPr>
        <w:t xml:space="preserve"> </w:t>
      </w:r>
      <w:r w:rsidRPr="000F082E">
        <w:rPr>
          <w:rFonts w:asciiTheme="minorHAnsi" w:hAnsiTheme="minorHAnsi" w:cstheme="minorHAnsi"/>
          <w:sz w:val="32"/>
          <w:szCs w:val="32"/>
        </w:rPr>
        <w:t>success</w:t>
      </w:r>
      <w:r w:rsidRPr="000F082E">
        <w:rPr>
          <w:rFonts w:asciiTheme="minorHAnsi" w:hAnsiTheme="minorHAnsi" w:cstheme="minorHAnsi"/>
          <w:spacing w:val="-2"/>
          <w:sz w:val="32"/>
          <w:szCs w:val="32"/>
        </w:rPr>
        <w:t xml:space="preserve"> </w:t>
      </w:r>
      <w:r w:rsidRPr="000F082E">
        <w:rPr>
          <w:rFonts w:asciiTheme="minorHAnsi" w:hAnsiTheme="minorHAnsi" w:cstheme="minorHAnsi"/>
          <w:sz w:val="32"/>
          <w:szCs w:val="32"/>
        </w:rPr>
        <w:t>of</w:t>
      </w:r>
      <w:r w:rsidRPr="000F082E">
        <w:rPr>
          <w:rFonts w:asciiTheme="minorHAnsi" w:hAnsiTheme="minorHAnsi" w:cstheme="minorHAnsi"/>
          <w:spacing w:val="-2"/>
          <w:sz w:val="32"/>
          <w:szCs w:val="32"/>
        </w:rPr>
        <w:t xml:space="preserve"> </w:t>
      </w:r>
      <w:r w:rsidRPr="000F082E">
        <w:rPr>
          <w:rFonts w:asciiTheme="minorHAnsi" w:hAnsiTheme="minorHAnsi" w:cstheme="minorHAnsi"/>
          <w:sz w:val="32"/>
          <w:szCs w:val="32"/>
        </w:rPr>
        <w:t>the</w:t>
      </w:r>
      <w:r w:rsidRPr="000F082E">
        <w:rPr>
          <w:rFonts w:asciiTheme="minorHAnsi" w:hAnsiTheme="minorHAnsi" w:cstheme="minorHAnsi"/>
          <w:spacing w:val="-3"/>
          <w:sz w:val="32"/>
          <w:szCs w:val="32"/>
        </w:rPr>
        <w:t xml:space="preserve"> </w:t>
      </w:r>
      <w:r w:rsidRPr="000F082E">
        <w:rPr>
          <w:rFonts w:asciiTheme="minorHAnsi" w:hAnsiTheme="minorHAnsi" w:cstheme="minorHAnsi"/>
          <w:sz w:val="32"/>
          <w:szCs w:val="32"/>
        </w:rPr>
        <w:t>issue.</w:t>
      </w:r>
    </w:p>
    <w:p w14:paraId="255703E2" w14:textId="35DB2DE0" w:rsidR="007B1EF9" w:rsidRPr="000F082E" w:rsidRDefault="007B1EF9" w:rsidP="00406AED">
      <w:pPr>
        <w:pStyle w:val="ListParagraph"/>
        <w:numPr>
          <w:ilvl w:val="0"/>
          <w:numId w:val="6"/>
        </w:numPr>
        <w:tabs>
          <w:tab w:val="left" w:pos="570"/>
          <w:tab w:val="left" w:pos="571"/>
          <w:tab w:val="left" w:pos="1550"/>
          <w:tab w:val="left" w:pos="1972"/>
          <w:tab w:val="left" w:pos="3171"/>
          <w:tab w:val="left" w:pos="4579"/>
          <w:tab w:val="left" w:pos="5928"/>
          <w:tab w:val="left" w:pos="6653"/>
          <w:tab w:val="left" w:pos="7604"/>
          <w:tab w:val="left" w:pos="8268"/>
          <w:tab w:val="left" w:pos="8819"/>
        </w:tabs>
        <w:spacing w:before="93" w:after="16" w:line="268" w:lineRule="auto"/>
        <w:ind w:right="157"/>
        <w:rPr>
          <w:rFonts w:asciiTheme="minorHAnsi" w:hAnsiTheme="minorHAnsi" w:cstheme="minorHAnsi"/>
          <w:sz w:val="32"/>
          <w:szCs w:val="32"/>
        </w:rPr>
      </w:pPr>
      <w:r w:rsidRPr="000F082E">
        <w:rPr>
          <w:rFonts w:asciiTheme="minorHAnsi" w:hAnsiTheme="minorHAnsi" w:cstheme="minorHAnsi"/>
          <w:sz w:val="32"/>
          <w:szCs w:val="32"/>
        </w:rPr>
        <w:t>Assist</w:t>
      </w:r>
      <w:r w:rsidRPr="000F082E">
        <w:rPr>
          <w:rFonts w:asciiTheme="minorHAnsi" w:hAnsiTheme="minorHAnsi" w:cstheme="minorHAnsi"/>
          <w:sz w:val="32"/>
          <w:szCs w:val="32"/>
        </w:rPr>
        <w:tab/>
        <w:t>in</w:t>
      </w:r>
      <w:r w:rsidRPr="000F082E">
        <w:rPr>
          <w:rFonts w:asciiTheme="minorHAnsi" w:hAnsiTheme="minorHAnsi" w:cstheme="minorHAnsi"/>
          <w:sz w:val="32"/>
          <w:szCs w:val="32"/>
        </w:rPr>
        <w:tab/>
        <w:t>opening</w:t>
      </w:r>
      <w:r w:rsidRPr="000F082E">
        <w:rPr>
          <w:rFonts w:asciiTheme="minorHAnsi" w:hAnsiTheme="minorHAnsi" w:cstheme="minorHAnsi"/>
          <w:sz w:val="32"/>
          <w:szCs w:val="32"/>
        </w:rPr>
        <w:tab/>
        <w:t>collection</w:t>
      </w:r>
      <w:r w:rsidRPr="000F082E">
        <w:rPr>
          <w:rFonts w:asciiTheme="minorHAnsi" w:hAnsiTheme="minorHAnsi" w:cstheme="minorHAnsi"/>
          <w:sz w:val="32"/>
          <w:szCs w:val="32"/>
        </w:rPr>
        <w:tab/>
        <w:t>accounts</w:t>
      </w:r>
      <w:r w:rsidRPr="000F082E">
        <w:rPr>
          <w:rFonts w:asciiTheme="minorHAnsi" w:hAnsiTheme="minorHAnsi" w:cstheme="minorHAnsi"/>
          <w:sz w:val="32"/>
          <w:szCs w:val="32"/>
        </w:rPr>
        <w:tab/>
        <w:t>with</w:t>
      </w:r>
      <w:r w:rsidRPr="000F082E">
        <w:rPr>
          <w:rFonts w:asciiTheme="minorHAnsi" w:hAnsiTheme="minorHAnsi" w:cstheme="minorHAnsi"/>
          <w:sz w:val="32"/>
          <w:szCs w:val="32"/>
        </w:rPr>
        <w:tab/>
        <w:t>banks</w:t>
      </w:r>
      <w:r w:rsidRPr="000F082E">
        <w:rPr>
          <w:rFonts w:asciiTheme="minorHAnsi" w:hAnsiTheme="minorHAnsi" w:cstheme="minorHAnsi"/>
          <w:sz w:val="32"/>
          <w:szCs w:val="32"/>
        </w:rPr>
        <w:tab/>
        <w:t>and</w:t>
      </w:r>
      <w:r w:rsidRPr="000F082E">
        <w:rPr>
          <w:rFonts w:asciiTheme="minorHAnsi" w:hAnsiTheme="minorHAnsi" w:cstheme="minorHAnsi"/>
          <w:sz w:val="32"/>
          <w:szCs w:val="32"/>
        </w:rPr>
        <w:tab/>
        <w:t>lay</w:t>
      </w:r>
      <w:r w:rsidRPr="000F082E">
        <w:rPr>
          <w:rFonts w:asciiTheme="minorHAnsi" w:hAnsiTheme="minorHAnsi" w:cstheme="minorHAnsi"/>
          <w:sz w:val="32"/>
          <w:szCs w:val="32"/>
        </w:rPr>
        <w:tab/>
        <w:t>down procedure for operation of these accounts. Send instructions to collecting branches, for collection of application along with cheques, drafts, stock invest separately and remittance of funds.</w:t>
      </w:r>
    </w:p>
    <w:p w14:paraId="68E5A91D" w14:textId="4588D3AF" w:rsidR="007B1EF9" w:rsidRPr="000F082E" w:rsidRDefault="007B1EF9" w:rsidP="009733CF">
      <w:pPr>
        <w:pStyle w:val="ListParagraph"/>
        <w:numPr>
          <w:ilvl w:val="0"/>
          <w:numId w:val="6"/>
        </w:numPr>
        <w:tabs>
          <w:tab w:val="left" w:pos="570"/>
          <w:tab w:val="left" w:pos="571"/>
          <w:tab w:val="left" w:pos="1550"/>
          <w:tab w:val="left" w:pos="1972"/>
          <w:tab w:val="left" w:pos="3171"/>
          <w:tab w:val="left" w:pos="4579"/>
          <w:tab w:val="left" w:pos="5928"/>
          <w:tab w:val="left" w:pos="6653"/>
          <w:tab w:val="left" w:pos="7604"/>
          <w:tab w:val="left" w:pos="8268"/>
          <w:tab w:val="left" w:pos="8819"/>
        </w:tabs>
        <w:spacing w:before="242" w:after="16" w:line="268" w:lineRule="auto"/>
        <w:ind w:right="157"/>
        <w:jc w:val="both"/>
        <w:rPr>
          <w:rFonts w:asciiTheme="minorHAnsi" w:hAnsiTheme="minorHAnsi" w:cstheme="minorHAnsi"/>
          <w:sz w:val="32"/>
          <w:szCs w:val="32"/>
        </w:rPr>
      </w:pPr>
      <w:r w:rsidRPr="000F082E">
        <w:rPr>
          <w:rFonts w:asciiTheme="minorHAnsi" w:hAnsiTheme="minorHAnsi" w:cstheme="minorHAnsi"/>
          <w:sz w:val="32"/>
          <w:szCs w:val="32"/>
        </w:rPr>
        <w:t xml:space="preserve"> Workout modalities to receive the collection figures on a regular basis</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until the subscription list is closed.</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and expertise, quality of manpower,</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their track record, adequacy of infrastructure such as computers, storage</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space</w:t>
      </w:r>
      <w:r w:rsidRPr="000F082E">
        <w:rPr>
          <w:rFonts w:asciiTheme="minorHAnsi" w:hAnsiTheme="minorHAnsi" w:cstheme="minorHAnsi"/>
          <w:spacing w:val="-1"/>
          <w:sz w:val="32"/>
          <w:szCs w:val="32"/>
        </w:rPr>
        <w:t xml:space="preserve"> </w:t>
      </w:r>
      <w:r w:rsidRPr="000F082E">
        <w:rPr>
          <w:rFonts w:asciiTheme="minorHAnsi" w:hAnsiTheme="minorHAnsi" w:cstheme="minorHAnsi"/>
          <w:sz w:val="32"/>
          <w:szCs w:val="32"/>
        </w:rPr>
        <w:t>etc.</w:t>
      </w:r>
      <w:r w:rsidRPr="000F082E">
        <w:rPr>
          <w:rFonts w:asciiTheme="minorHAnsi" w:hAnsiTheme="minorHAnsi" w:cstheme="minorHAnsi"/>
          <w:spacing w:val="-2"/>
          <w:sz w:val="32"/>
          <w:szCs w:val="32"/>
        </w:rPr>
        <w:t xml:space="preserve"> </w:t>
      </w:r>
      <w:r w:rsidRPr="000F082E">
        <w:rPr>
          <w:rFonts w:asciiTheme="minorHAnsi" w:hAnsiTheme="minorHAnsi" w:cstheme="minorHAnsi"/>
          <w:sz w:val="32"/>
          <w:szCs w:val="32"/>
        </w:rPr>
        <w:t>and</w:t>
      </w:r>
      <w:r w:rsidRPr="000F082E">
        <w:rPr>
          <w:rFonts w:asciiTheme="minorHAnsi" w:hAnsiTheme="minorHAnsi" w:cstheme="minorHAnsi"/>
          <w:spacing w:val="-2"/>
          <w:sz w:val="32"/>
          <w:szCs w:val="32"/>
        </w:rPr>
        <w:t xml:space="preserve"> </w:t>
      </w:r>
      <w:r w:rsidRPr="000F082E">
        <w:rPr>
          <w:rFonts w:asciiTheme="minorHAnsi" w:hAnsiTheme="minorHAnsi" w:cstheme="minorHAnsi"/>
          <w:sz w:val="32"/>
          <w:szCs w:val="32"/>
        </w:rPr>
        <w:t>capital</w:t>
      </w:r>
      <w:r w:rsidRPr="000F082E">
        <w:rPr>
          <w:rFonts w:asciiTheme="minorHAnsi" w:hAnsiTheme="minorHAnsi" w:cstheme="minorHAnsi"/>
          <w:spacing w:val="-2"/>
          <w:sz w:val="32"/>
          <w:szCs w:val="32"/>
        </w:rPr>
        <w:t xml:space="preserve"> </w:t>
      </w:r>
      <w:r w:rsidRPr="000F082E">
        <w:rPr>
          <w:rFonts w:asciiTheme="minorHAnsi" w:hAnsiTheme="minorHAnsi" w:cstheme="minorHAnsi"/>
          <w:sz w:val="32"/>
          <w:szCs w:val="32"/>
        </w:rPr>
        <w:t>adequacy</w:t>
      </w:r>
    </w:p>
    <w:p w14:paraId="634C5F19" w14:textId="77777777" w:rsidR="007B1EF9" w:rsidRPr="000F082E" w:rsidRDefault="007B1EF9" w:rsidP="007B1EF9">
      <w:pPr>
        <w:pStyle w:val="Heading2"/>
        <w:widowControl w:val="0"/>
        <w:numPr>
          <w:ilvl w:val="0"/>
          <w:numId w:val="7"/>
        </w:numPr>
        <w:tabs>
          <w:tab w:val="left" w:pos="446"/>
        </w:tabs>
        <w:autoSpaceDE w:val="0"/>
        <w:autoSpaceDN w:val="0"/>
        <w:spacing w:before="204" w:beforeAutospacing="0" w:after="0" w:afterAutospacing="0"/>
        <w:jc w:val="both"/>
        <w:rPr>
          <w:rFonts w:asciiTheme="minorHAnsi" w:hAnsiTheme="minorHAnsi" w:cstheme="minorHAnsi"/>
          <w:sz w:val="32"/>
          <w:szCs w:val="32"/>
        </w:rPr>
      </w:pPr>
      <w:r w:rsidRPr="000F082E">
        <w:rPr>
          <w:rFonts w:asciiTheme="minorHAnsi" w:hAnsiTheme="minorHAnsi" w:cstheme="minorHAnsi"/>
          <w:w w:val="105"/>
          <w:sz w:val="32"/>
          <w:szCs w:val="32"/>
        </w:rPr>
        <w:t>Collecting</w:t>
      </w:r>
      <w:r w:rsidRPr="000F082E">
        <w:rPr>
          <w:rFonts w:asciiTheme="minorHAnsi" w:hAnsiTheme="minorHAnsi" w:cstheme="minorHAnsi"/>
          <w:spacing w:val="56"/>
          <w:w w:val="105"/>
          <w:sz w:val="32"/>
          <w:szCs w:val="32"/>
        </w:rPr>
        <w:t xml:space="preserve"> </w:t>
      </w:r>
      <w:r w:rsidRPr="000F082E">
        <w:rPr>
          <w:rFonts w:asciiTheme="minorHAnsi" w:hAnsiTheme="minorHAnsi" w:cstheme="minorHAnsi"/>
          <w:w w:val="105"/>
          <w:sz w:val="32"/>
          <w:szCs w:val="32"/>
        </w:rPr>
        <w:t>and</w:t>
      </w:r>
      <w:r w:rsidRPr="000F082E">
        <w:rPr>
          <w:rFonts w:asciiTheme="minorHAnsi" w:hAnsiTheme="minorHAnsi" w:cstheme="minorHAnsi"/>
          <w:spacing w:val="54"/>
          <w:w w:val="105"/>
          <w:sz w:val="32"/>
          <w:szCs w:val="32"/>
        </w:rPr>
        <w:t xml:space="preserve"> </w:t>
      </w:r>
      <w:r w:rsidRPr="000F082E">
        <w:rPr>
          <w:rFonts w:asciiTheme="minorHAnsi" w:hAnsiTheme="minorHAnsi" w:cstheme="minorHAnsi"/>
          <w:w w:val="105"/>
          <w:sz w:val="32"/>
          <w:szCs w:val="32"/>
        </w:rPr>
        <w:t>Co</w:t>
      </w:r>
      <w:r w:rsidRPr="000F082E">
        <w:rPr>
          <w:rFonts w:asciiTheme="minorHAnsi" w:hAnsiTheme="minorHAnsi" w:cstheme="minorHAnsi"/>
          <w:spacing w:val="56"/>
          <w:w w:val="105"/>
          <w:sz w:val="32"/>
          <w:szCs w:val="32"/>
        </w:rPr>
        <w:t xml:space="preserve"> </w:t>
      </w:r>
      <w:r w:rsidRPr="000F082E">
        <w:rPr>
          <w:rFonts w:asciiTheme="minorHAnsi" w:hAnsiTheme="minorHAnsi" w:cstheme="minorHAnsi"/>
          <w:sz w:val="32"/>
          <w:szCs w:val="32"/>
        </w:rPr>
        <w:t>-</w:t>
      </w:r>
      <w:r w:rsidRPr="000F082E">
        <w:rPr>
          <w:rFonts w:asciiTheme="minorHAnsi" w:hAnsiTheme="minorHAnsi" w:cstheme="minorHAnsi"/>
          <w:spacing w:val="61"/>
          <w:sz w:val="32"/>
          <w:szCs w:val="32"/>
        </w:rPr>
        <w:t xml:space="preserve"> </w:t>
      </w:r>
      <w:r w:rsidRPr="000F082E">
        <w:rPr>
          <w:rFonts w:asciiTheme="minorHAnsi" w:hAnsiTheme="minorHAnsi" w:cstheme="minorHAnsi"/>
          <w:w w:val="105"/>
          <w:sz w:val="32"/>
          <w:szCs w:val="32"/>
        </w:rPr>
        <w:t>ordinating</w:t>
      </w:r>
      <w:r w:rsidRPr="000F082E">
        <w:rPr>
          <w:rFonts w:asciiTheme="minorHAnsi" w:hAnsiTheme="minorHAnsi" w:cstheme="minorHAnsi"/>
          <w:spacing w:val="57"/>
          <w:w w:val="105"/>
          <w:sz w:val="32"/>
          <w:szCs w:val="32"/>
        </w:rPr>
        <w:t xml:space="preserve"> </w:t>
      </w:r>
      <w:r w:rsidRPr="000F082E">
        <w:rPr>
          <w:rFonts w:asciiTheme="minorHAnsi" w:hAnsiTheme="minorHAnsi" w:cstheme="minorHAnsi"/>
          <w:w w:val="105"/>
          <w:sz w:val="32"/>
          <w:szCs w:val="32"/>
        </w:rPr>
        <w:t>Bankers</w:t>
      </w:r>
    </w:p>
    <w:p w14:paraId="03E928D0" w14:textId="77777777" w:rsidR="007B1EF9" w:rsidRPr="000F082E" w:rsidRDefault="007B1EF9" w:rsidP="007B1EF9">
      <w:pPr>
        <w:pStyle w:val="BodyText"/>
        <w:spacing w:line="268" w:lineRule="auto"/>
        <w:ind w:right="157"/>
        <w:jc w:val="both"/>
        <w:rPr>
          <w:rFonts w:asciiTheme="minorHAnsi" w:hAnsiTheme="minorHAnsi" w:cstheme="minorHAnsi"/>
          <w:i w:val="0"/>
          <w:sz w:val="32"/>
          <w:szCs w:val="32"/>
        </w:rPr>
      </w:pPr>
      <w:r w:rsidRPr="000F082E">
        <w:rPr>
          <w:rFonts w:asciiTheme="minorHAnsi" w:hAnsiTheme="minorHAnsi" w:cstheme="minorHAnsi"/>
          <w:i w:val="0"/>
          <w:sz w:val="32"/>
          <w:szCs w:val="32"/>
        </w:rPr>
        <w:t>Collecting bankers collect the subscriptions in cash, cheques, stock invest</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etc. Co - ordinating bankers collect information on subscriptions and co-</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ordinate the collection work. They monitor the work and keep inform them</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registrars</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and</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merchant</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bankers.</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Collecting</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banker</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and</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coordinating</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banker</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may</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be</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same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bank</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or</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different banks.</w:t>
      </w:r>
    </w:p>
    <w:p w14:paraId="22CF682A" w14:textId="2820E55E" w:rsidR="007B1EF9" w:rsidRPr="000F082E" w:rsidRDefault="007B1EF9" w:rsidP="007B1EF9">
      <w:pPr>
        <w:pStyle w:val="Heading2"/>
        <w:widowControl w:val="0"/>
        <w:numPr>
          <w:ilvl w:val="0"/>
          <w:numId w:val="7"/>
        </w:numPr>
        <w:tabs>
          <w:tab w:val="left" w:pos="446"/>
        </w:tabs>
        <w:autoSpaceDE w:val="0"/>
        <w:autoSpaceDN w:val="0"/>
        <w:spacing w:before="205" w:beforeAutospacing="0" w:after="0" w:afterAutospacing="0"/>
        <w:jc w:val="both"/>
        <w:rPr>
          <w:rFonts w:asciiTheme="minorHAnsi" w:hAnsiTheme="minorHAnsi" w:cstheme="minorHAnsi"/>
          <w:sz w:val="32"/>
          <w:szCs w:val="32"/>
        </w:rPr>
      </w:pPr>
      <w:r w:rsidRPr="000F082E">
        <w:rPr>
          <w:rFonts w:asciiTheme="minorHAnsi" w:hAnsiTheme="minorHAnsi" w:cstheme="minorHAnsi"/>
          <w:w w:val="110"/>
          <w:sz w:val="32"/>
          <w:szCs w:val="32"/>
        </w:rPr>
        <w:t>Underwriters</w:t>
      </w:r>
      <w:r w:rsidRPr="000F082E">
        <w:rPr>
          <w:rFonts w:asciiTheme="minorHAnsi" w:hAnsiTheme="minorHAnsi" w:cstheme="minorHAnsi"/>
          <w:spacing w:val="39"/>
          <w:w w:val="110"/>
          <w:sz w:val="32"/>
          <w:szCs w:val="32"/>
        </w:rPr>
        <w:t xml:space="preserve"> </w:t>
      </w:r>
    </w:p>
    <w:p w14:paraId="0799598F" w14:textId="2EFF561D" w:rsidR="007B1EF9" w:rsidRPr="000F082E" w:rsidRDefault="007B1EF9" w:rsidP="007B1EF9">
      <w:pPr>
        <w:pStyle w:val="BodyText"/>
        <w:spacing w:before="242" w:line="268" w:lineRule="auto"/>
        <w:ind w:right="156"/>
        <w:jc w:val="both"/>
        <w:rPr>
          <w:rFonts w:asciiTheme="minorHAnsi" w:hAnsiTheme="minorHAnsi" w:cstheme="minorHAnsi"/>
          <w:i w:val="0"/>
          <w:sz w:val="32"/>
          <w:szCs w:val="32"/>
        </w:rPr>
      </w:pPr>
      <w:r w:rsidRPr="000F082E">
        <w:rPr>
          <w:rFonts w:asciiTheme="minorHAnsi" w:hAnsiTheme="minorHAnsi" w:cstheme="minorHAnsi"/>
          <w:i w:val="0"/>
          <w:sz w:val="32"/>
          <w:szCs w:val="32"/>
        </w:rPr>
        <w:t xml:space="preserve">Normally investment bankers act as underwriters.  They agree to take a specified number of shares offered to the public.  If the issue is not fully subscribed by the public. Underwriters may be financial institutions, banks. Mutual funds, brokers etc. </w:t>
      </w:r>
    </w:p>
    <w:p w14:paraId="5B608FB0" w14:textId="459E2C73" w:rsidR="007B1EF9" w:rsidRPr="000F082E" w:rsidRDefault="007B1EF9" w:rsidP="007B1EF9">
      <w:pPr>
        <w:pStyle w:val="BodyText"/>
        <w:numPr>
          <w:ilvl w:val="0"/>
          <w:numId w:val="7"/>
        </w:numPr>
        <w:spacing w:before="242" w:line="268" w:lineRule="auto"/>
        <w:ind w:right="156"/>
        <w:rPr>
          <w:rFonts w:asciiTheme="minorHAnsi" w:eastAsia="Times New Roman" w:hAnsiTheme="minorHAnsi" w:cstheme="minorHAnsi"/>
          <w:b/>
          <w:bCs/>
          <w:i w:val="0"/>
          <w:iCs w:val="0"/>
          <w:w w:val="110"/>
          <w:sz w:val="32"/>
          <w:szCs w:val="32"/>
          <w:lang w:val="en-IN" w:eastAsia="en-IN"/>
        </w:rPr>
      </w:pPr>
      <w:r w:rsidRPr="000F082E">
        <w:rPr>
          <w:rFonts w:asciiTheme="minorHAnsi" w:eastAsia="Times New Roman" w:hAnsiTheme="minorHAnsi" w:cstheme="minorHAnsi"/>
          <w:b/>
          <w:bCs/>
          <w:i w:val="0"/>
          <w:iCs w:val="0"/>
          <w:w w:val="110"/>
          <w:sz w:val="32"/>
          <w:szCs w:val="32"/>
          <w:lang w:val="en-IN" w:eastAsia="en-IN"/>
        </w:rPr>
        <w:t xml:space="preserve">Brokers </w:t>
      </w:r>
    </w:p>
    <w:p w14:paraId="09DBDA5E" w14:textId="1D6AE05A" w:rsidR="007B1EF9" w:rsidRPr="000F082E" w:rsidRDefault="007B1EF9" w:rsidP="007B1EF9">
      <w:pPr>
        <w:pStyle w:val="BodyText"/>
        <w:spacing w:before="242" w:line="268" w:lineRule="auto"/>
        <w:ind w:right="156"/>
        <w:jc w:val="both"/>
        <w:rPr>
          <w:rFonts w:asciiTheme="minorHAnsi" w:hAnsiTheme="minorHAnsi" w:cstheme="minorHAnsi"/>
          <w:i w:val="0"/>
          <w:sz w:val="32"/>
          <w:szCs w:val="32"/>
        </w:rPr>
      </w:pPr>
      <w:r w:rsidRPr="000F082E">
        <w:rPr>
          <w:rFonts w:asciiTheme="minorHAnsi" w:hAnsiTheme="minorHAnsi" w:cstheme="minorHAnsi"/>
          <w:i w:val="0"/>
          <w:sz w:val="32"/>
          <w:szCs w:val="32"/>
        </w:rPr>
        <w:t>Brokers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along with the network of sub - brokers market the new issues. They send</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their own circulars and applications to the clients and do follow up work to</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market the securities.</w:t>
      </w:r>
    </w:p>
    <w:p w14:paraId="2774B04F" w14:textId="0F6ECB22" w:rsidR="00A35096" w:rsidRPr="000F082E" w:rsidRDefault="007B1EF9" w:rsidP="00D01C46">
      <w:pPr>
        <w:pStyle w:val="ListParagraph"/>
        <w:numPr>
          <w:ilvl w:val="0"/>
          <w:numId w:val="7"/>
        </w:numPr>
        <w:rPr>
          <w:rFonts w:asciiTheme="minorHAnsi" w:hAnsiTheme="minorHAnsi" w:cstheme="minorHAnsi"/>
          <w:sz w:val="32"/>
          <w:szCs w:val="32"/>
        </w:rPr>
      </w:pPr>
      <w:r w:rsidRPr="000F082E">
        <w:rPr>
          <w:rFonts w:asciiTheme="minorHAnsi" w:hAnsiTheme="minorHAnsi" w:cstheme="minorHAnsi"/>
          <w:b/>
          <w:w w:val="105"/>
          <w:sz w:val="32"/>
          <w:szCs w:val="32"/>
        </w:rPr>
        <w:t>Printers,</w:t>
      </w:r>
      <w:r w:rsidRPr="000F082E">
        <w:rPr>
          <w:rFonts w:asciiTheme="minorHAnsi" w:hAnsiTheme="minorHAnsi" w:cstheme="minorHAnsi"/>
          <w:b/>
          <w:spacing w:val="1"/>
          <w:w w:val="105"/>
          <w:sz w:val="32"/>
          <w:szCs w:val="32"/>
        </w:rPr>
        <w:t xml:space="preserve"> </w:t>
      </w:r>
      <w:r w:rsidRPr="000F082E">
        <w:rPr>
          <w:rFonts w:asciiTheme="minorHAnsi" w:hAnsiTheme="minorHAnsi" w:cstheme="minorHAnsi"/>
          <w:b/>
          <w:w w:val="105"/>
          <w:sz w:val="32"/>
          <w:szCs w:val="32"/>
        </w:rPr>
        <w:t>advertising</w:t>
      </w:r>
      <w:r w:rsidRPr="000F082E">
        <w:rPr>
          <w:rFonts w:asciiTheme="minorHAnsi" w:hAnsiTheme="minorHAnsi" w:cstheme="minorHAnsi"/>
          <w:b/>
          <w:spacing w:val="1"/>
          <w:w w:val="105"/>
          <w:sz w:val="32"/>
          <w:szCs w:val="32"/>
        </w:rPr>
        <w:t xml:space="preserve"> </w:t>
      </w:r>
      <w:r w:rsidRPr="000F082E">
        <w:rPr>
          <w:rFonts w:asciiTheme="minorHAnsi" w:hAnsiTheme="minorHAnsi" w:cstheme="minorHAnsi"/>
          <w:b/>
          <w:w w:val="105"/>
          <w:sz w:val="32"/>
          <w:szCs w:val="32"/>
        </w:rPr>
        <w:t>agencies</w:t>
      </w:r>
      <w:r w:rsidRPr="000F082E">
        <w:rPr>
          <w:rFonts w:asciiTheme="minorHAnsi" w:hAnsiTheme="minorHAnsi" w:cstheme="minorHAnsi"/>
          <w:b/>
          <w:spacing w:val="1"/>
          <w:w w:val="105"/>
          <w:sz w:val="32"/>
          <w:szCs w:val="32"/>
        </w:rPr>
        <w:t xml:space="preserve"> </w:t>
      </w:r>
      <w:r w:rsidRPr="000F082E">
        <w:rPr>
          <w:rFonts w:asciiTheme="minorHAnsi" w:hAnsiTheme="minorHAnsi" w:cstheme="minorHAnsi"/>
          <w:b/>
          <w:w w:val="105"/>
          <w:sz w:val="32"/>
          <w:szCs w:val="32"/>
        </w:rPr>
        <w:t>and</w:t>
      </w:r>
      <w:r w:rsidRPr="000F082E">
        <w:rPr>
          <w:rFonts w:asciiTheme="minorHAnsi" w:hAnsiTheme="minorHAnsi" w:cstheme="minorHAnsi"/>
          <w:b/>
          <w:spacing w:val="1"/>
          <w:w w:val="105"/>
          <w:sz w:val="32"/>
          <w:szCs w:val="32"/>
        </w:rPr>
        <w:t xml:space="preserve"> </w:t>
      </w:r>
      <w:r w:rsidRPr="000F082E">
        <w:rPr>
          <w:rFonts w:asciiTheme="minorHAnsi" w:hAnsiTheme="minorHAnsi" w:cstheme="minorHAnsi"/>
          <w:b/>
          <w:w w:val="105"/>
          <w:sz w:val="32"/>
          <w:szCs w:val="32"/>
        </w:rPr>
        <w:t>mailing</w:t>
      </w:r>
      <w:r w:rsidRPr="000F082E">
        <w:rPr>
          <w:rFonts w:asciiTheme="minorHAnsi" w:hAnsiTheme="minorHAnsi" w:cstheme="minorHAnsi"/>
          <w:b/>
          <w:spacing w:val="1"/>
          <w:w w:val="105"/>
          <w:sz w:val="32"/>
          <w:szCs w:val="32"/>
        </w:rPr>
        <w:t xml:space="preserve"> </w:t>
      </w:r>
      <w:r w:rsidRPr="000F082E">
        <w:rPr>
          <w:rFonts w:asciiTheme="minorHAnsi" w:hAnsiTheme="minorHAnsi" w:cstheme="minorHAnsi"/>
          <w:b/>
          <w:w w:val="105"/>
          <w:sz w:val="32"/>
          <w:szCs w:val="32"/>
        </w:rPr>
        <w:t>agencies</w:t>
      </w:r>
      <w:r w:rsidRPr="000F082E">
        <w:rPr>
          <w:rFonts w:asciiTheme="minorHAnsi" w:hAnsiTheme="minorHAnsi" w:cstheme="minorHAnsi"/>
          <w:b/>
          <w:spacing w:val="1"/>
          <w:w w:val="105"/>
          <w:sz w:val="32"/>
          <w:szCs w:val="32"/>
        </w:rPr>
        <w:t xml:space="preserve"> </w:t>
      </w:r>
      <w:r w:rsidRPr="000F082E">
        <w:rPr>
          <w:rFonts w:asciiTheme="minorHAnsi" w:hAnsiTheme="minorHAnsi" w:cstheme="minorHAnsi"/>
          <w:w w:val="105"/>
          <w:sz w:val="32"/>
          <w:szCs w:val="32"/>
        </w:rPr>
        <w:t>are</w:t>
      </w:r>
      <w:r w:rsidRPr="000F082E">
        <w:rPr>
          <w:rFonts w:asciiTheme="minorHAnsi" w:hAnsiTheme="minorHAnsi" w:cstheme="minorHAnsi"/>
          <w:spacing w:val="1"/>
          <w:w w:val="105"/>
          <w:sz w:val="32"/>
          <w:szCs w:val="32"/>
        </w:rPr>
        <w:t xml:space="preserve"> </w:t>
      </w:r>
      <w:r w:rsidRPr="000F082E">
        <w:rPr>
          <w:rFonts w:asciiTheme="minorHAnsi" w:hAnsiTheme="minorHAnsi" w:cstheme="minorHAnsi"/>
          <w:w w:val="105"/>
          <w:sz w:val="32"/>
          <w:szCs w:val="32"/>
        </w:rPr>
        <w:t>other</w:t>
      </w:r>
      <w:r w:rsidRPr="000F082E">
        <w:rPr>
          <w:rFonts w:asciiTheme="minorHAnsi" w:hAnsiTheme="minorHAnsi" w:cstheme="minorHAnsi"/>
          <w:spacing w:val="1"/>
          <w:w w:val="105"/>
          <w:sz w:val="32"/>
          <w:szCs w:val="32"/>
        </w:rPr>
        <w:t xml:space="preserve"> </w:t>
      </w:r>
      <w:r w:rsidRPr="000F082E">
        <w:rPr>
          <w:rFonts w:asciiTheme="minorHAnsi" w:hAnsiTheme="minorHAnsi" w:cstheme="minorHAnsi"/>
          <w:w w:val="105"/>
          <w:sz w:val="32"/>
          <w:szCs w:val="32"/>
        </w:rPr>
        <w:t>Organisations</w:t>
      </w:r>
      <w:r w:rsidRPr="000F082E">
        <w:rPr>
          <w:rFonts w:asciiTheme="minorHAnsi" w:hAnsiTheme="minorHAnsi" w:cstheme="minorHAnsi"/>
          <w:spacing w:val="-16"/>
          <w:w w:val="105"/>
          <w:sz w:val="32"/>
          <w:szCs w:val="32"/>
        </w:rPr>
        <w:t xml:space="preserve"> </w:t>
      </w:r>
      <w:r w:rsidRPr="000F082E">
        <w:rPr>
          <w:rFonts w:asciiTheme="minorHAnsi" w:hAnsiTheme="minorHAnsi" w:cstheme="minorHAnsi"/>
          <w:w w:val="105"/>
          <w:sz w:val="32"/>
          <w:szCs w:val="32"/>
        </w:rPr>
        <w:t>involved</w:t>
      </w:r>
      <w:r w:rsidRPr="000F082E">
        <w:rPr>
          <w:rFonts w:asciiTheme="minorHAnsi" w:hAnsiTheme="minorHAnsi" w:cstheme="minorHAnsi"/>
          <w:spacing w:val="-17"/>
          <w:w w:val="105"/>
          <w:sz w:val="32"/>
          <w:szCs w:val="32"/>
        </w:rPr>
        <w:t xml:space="preserve"> </w:t>
      </w:r>
      <w:r w:rsidRPr="000F082E">
        <w:rPr>
          <w:rFonts w:asciiTheme="minorHAnsi" w:hAnsiTheme="minorHAnsi" w:cstheme="minorHAnsi"/>
          <w:w w:val="105"/>
          <w:sz w:val="32"/>
          <w:szCs w:val="32"/>
        </w:rPr>
        <w:t>in</w:t>
      </w:r>
      <w:r w:rsidRPr="000F082E">
        <w:rPr>
          <w:rFonts w:asciiTheme="minorHAnsi" w:hAnsiTheme="minorHAnsi" w:cstheme="minorHAnsi"/>
          <w:spacing w:val="-17"/>
          <w:w w:val="105"/>
          <w:sz w:val="32"/>
          <w:szCs w:val="32"/>
        </w:rPr>
        <w:t xml:space="preserve"> </w:t>
      </w:r>
      <w:r w:rsidRPr="000F082E">
        <w:rPr>
          <w:rFonts w:asciiTheme="minorHAnsi" w:hAnsiTheme="minorHAnsi" w:cstheme="minorHAnsi"/>
          <w:w w:val="105"/>
          <w:sz w:val="32"/>
          <w:szCs w:val="32"/>
        </w:rPr>
        <w:t>the</w:t>
      </w:r>
      <w:r w:rsidRPr="000F082E">
        <w:rPr>
          <w:rFonts w:asciiTheme="minorHAnsi" w:hAnsiTheme="minorHAnsi" w:cstheme="minorHAnsi"/>
          <w:spacing w:val="-17"/>
          <w:w w:val="105"/>
          <w:sz w:val="32"/>
          <w:szCs w:val="32"/>
        </w:rPr>
        <w:t xml:space="preserve"> </w:t>
      </w:r>
      <w:r w:rsidRPr="000F082E">
        <w:rPr>
          <w:rFonts w:asciiTheme="minorHAnsi" w:hAnsiTheme="minorHAnsi" w:cstheme="minorHAnsi"/>
          <w:w w:val="105"/>
          <w:sz w:val="32"/>
          <w:szCs w:val="32"/>
        </w:rPr>
        <w:t>new</w:t>
      </w:r>
      <w:r w:rsidRPr="000F082E">
        <w:rPr>
          <w:rFonts w:asciiTheme="minorHAnsi" w:hAnsiTheme="minorHAnsi" w:cstheme="minorHAnsi"/>
          <w:spacing w:val="-16"/>
          <w:w w:val="105"/>
          <w:sz w:val="32"/>
          <w:szCs w:val="32"/>
        </w:rPr>
        <w:t xml:space="preserve"> </w:t>
      </w:r>
      <w:r w:rsidRPr="000F082E">
        <w:rPr>
          <w:rFonts w:asciiTheme="minorHAnsi" w:hAnsiTheme="minorHAnsi" w:cstheme="minorHAnsi"/>
          <w:w w:val="105"/>
          <w:sz w:val="32"/>
          <w:szCs w:val="32"/>
        </w:rPr>
        <w:t>issue</w:t>
      </w:r>
      <w:r w:rsidRPr="000F082E">
        <w:rPr>
          <w:rFonts w:asciiTheme="minorHAnsi" w:hAnsiTheme="minorHAnsi" w:cstheme="minorHAnsi"/>
          <w:spacing w:val="-16"/>
          <w:w w:val="105"/>
          <w:sz w:val="32"/>
          <w:szCs w:val="32"/>
        </w:rPr>
        <w:t xml:space="preserve"> </w:t>
      </w:r>
      <w:r w:rsidRPr="000F082E">
        <w:rPr>
          <w:rFonts w:asciiTheme="minorHAnsi" w:hAnsiTheme="minorHAnsi" w:cstheme="minorHAnsi"/>
          <w:w w:val="105"/>
          <w:sz w:val="32"/>
          <w:szCs w:val="32"/>
        </w:rPr>
        <w:t>market</w:t>
      </w:r>
      <w:r w:rsidRPr="000F082E">
        <w:rPr>
          <w:rFonts w:asciiTheme="minorHAnsi" w:hAnsiTheme="minorHAnsi" w:cstheme="minorHAnsi"/>
          <w:spacing w:val="-16"/>
          <w:w w:val="105"/>
          <w:sz w:val="32"/>
          <w:szCs w:val="32"/>
        </w:rPr>
        <w:t xml:space="preserve"> </w:t>
      </w:r>
      <w:r w:rsidRPr="000F082E">
        <w:rPr>
          <w:rFonts w:asciiTheme="minorHAnsi" w:hAnsiTheme="minorHAnsi" w:cstheme="minorHAnsi"/>
          <w:w w:val="105"/>
          <w:sz w:val="32"/>
          <w:szCs w:val="32"/>
        </w:rPr>
        <w:t>operations</w:t>
      </w:r>
    </w:p>
    <w:p w14:paraId="2DB3AA97" w14:textId="77777777" w:rsidR="00D01C46" w:rsidRPr="000F082E" w:rsidRDefault="00A35096" w:rsidP="00D01C46">
      <w:pPr>
        <w:pStyle w:val="Heading2"/>
        <w:spacing w:before="244"/>
        <w:jc w:val="both"/>
        <w:rPr>
          <w:rFonts w:asciiTheme="minorHAnsi" w:hAnsiTheme="minorHAnsi" w:cstheme="minorHAnsi"/>
          <w:iCs/>
          <w:w w:val="110"/>
          <w:sz w:val="32"/>
          <w:szCs w:val="32"/>
        </w:rPr>
      </w:pPr>
      <w:r w:rsidRPr="00A35096">
        <w:rPr>
          <w:rFonts w:asciiTheme="minorHAnsi" w:hAnsiTheme="minorHAnsi" w:cstheme="minorHAnsi"/>
          <w:color w:val="000000"/>
          <w:sz w:val="32"/>
          <w:szCs w:val="32"/>
        </w:rPr>
        <w:br/>
      </w:r>
      <w:r w:rsidR="00D01C46" w:rsidRPr="000F082E">
        <w:rPr>
          <w:rFonts w:asciiTheme="minorHAnsi" w:hAnsiTheme="minorHAnsi" w:cstheme="minorHAnsi"/>
          <w:iCs/>
          <w:w w:val="110"/>
          <w:sz w:val="32"/>
          <w:szCs w:val="32"/>
        </w:rPr>
        <w:t>SERVICES OF MERCHANT BANKS</w:t>
      </w:r>
    </w:p>
    <w:p w14:paraId="60A43D11" w14:textId="77777777" w:rsidR="00D01C46" w:rsidRPr="000F082E" w:rsidRDefault="00D01C46" w:rsidP="00D01C46">
      <w:pPr>
        <w:pStyle w:val="BodyText"/>
        <w:spacing w:before="242" w:line="268" w:lineRule="auto"/>
        <w:ind w:right="1124"/>
        <w:rPr>
          <w:rFonts w:asciiTheme="minorHAnsi" w:hAnsiTheme="minorHAnsi" w:cstheme="minorHAnsi"/>
          <w:i w:val="0"/>
          <w:sz w:val="32"/>
          <w:szCs w:val="32"/>
        </w:rPr>
      </w:pPr>
      <w:r w:rsidRPr="000F082E">
        <w:rPr>
          <w:rFonts w:asciiTheme="minorHAnsi" w:hAnsiTheme="minorHAnsi" w:cstheme="minorHAnsi"/>
          <w:i w:val="0"/>
          <w:sz w:val="32"/>
          <w:szCs w:val="32"/>
        </w:rPr>
        <w:t>The financial institutions in India could not meet the demand for</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long</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term</w:t>
      </w:r>
      <w:r w:rsidRPr="000F082E">
        <w:rPr>
          <w:rFonts w:asciiTheme="minorHAnsi" w:hAnsiTheme="minorHAnsi" w:cstheme="minorHAnsi"/>
          <w:i w:val="0"/>
          <w:spacing w:val="-13"/>
          <w:sz w:val="32"/>
          <w:szCs w:val="32"/>
        </w:rPr>
        <w:t xml:space="preserve"> </w:t>
      </w:r>
      <w:r w:rsidRPr="000F082E">
        <w:rPr>
          <w:rFonts w:asciiTheme="minorHAnsi" w:hAnsiTheme="minorHAnsi" w:cstheme="minorHAnsi"/>
          <w:i w:val="0"/>
          <w:sz w:val="32"/>
          <w:szCs w:val="32"/>
        </w:rPr>
        <w:t>funds</w:t>
      </w:r>
      <w:r w:rsidRPr="000F082E">
        <w:rPr>
          <w:rFonts w:asciiTheme="minorHAnsi" w:hAnsiTheme="minorHAnsi" w:cstheme="minorHAnsi"/>
          <w:i w:val="0"/>
          <w:spacing w:val="-14"/>
          <w:sz w:val="32"/>
          <w:szCs w:val="32"/>
        </w:rPr>
        <w:t xml:space="preserve"> </w:t>
      </w:r>
      <w:r w:rsidRPr="000F082E">
        <w:rPr>
          <w:rFonts w:asciiTheme="minorHAnsi" w:hAnsiTheme="minorHAnsi" w:cstheme="minorHAnsi"/>
          <w:i w:val="0"/>
          <w:sz w:val="32"/>
          <w:szCs w:val="32"/>
        </w:rPr>
        <w:t>required</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by</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ever</w:t>
      </w:r>
      <w:r w:rsidRPr="000F082E">
        <w:rPr>
          <w:rFonts w:asciiTheme="minorHAnsi" w:hAnsiTheme="minorHAnsi" w:cstheme="minorHAnsi"/>
          <w:i w:val="0"/>
          <w:spacing w:val="-14"/>
          <w:sz w:val="32"/>
          <w:szCs w:val="32"/>
        </w:rPr>
        <w:t xml:space="preserve"> </w:t>
      </w:r>
      <w:r w:rsidRPr="000F082E">
        <w:rPr>
          <w:rFonts w:asciiTheme="minorHAnsi" w:hAnsiTheme="minorHAnsi" w:cstheme="minorHAnsi"/>
          <w:i w:val="0"/>
          <w:sz w:val="32"/>
          <w:szCs w:val="32"/>
        </w:rPr>
        <w:t>expanding</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industry</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and</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trade.</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corporate sector enterprises, therefore, meet their requirements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ach</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issue</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shares</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and</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debentures</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in</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capital</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market.</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raise</w:t>
      </w:r>
    </w:p>
    <w:p w14:paraId="17C7A9B1" w14:textId="77777777" w:rsidR="00D01C46" w:rsidRPr="000F082E" w:rsidRDefault="00D01C46" w:rsidP="00D01C46">
      <w:pPr>
        <w:pStyle w:val="BodyText"/>
        <w:spacing w:before="3" w:line="268" w:lineRule="auto"/>
        <w:ind w:right="654"/>
        <w:rPr>
          <w:rFonts w:asciiTheme="minorHAnsi" w:hAnsiTheme="minorHAnsi" w:cstheme="minorHAnsi"/>
          <w:i w:val="0"/>
          <w:sz w:val="32"/>
          <w:szCs w:val="32"/>
        </w:rPr>
      </w:pPr>
      <w:r w:rsidRPr="000F082E">
        <w:rPr>
          <w:rFonts w:asciiTheme="minorHAnsi" w:hAnsiTheme="minorHAnsi" w:cstheme="minorHAnsi"/>
          <w:i w:val="0"/>
          <w:sz w:val="32"/>
          <w:szCs w:val="32"/>
        </w:rPr>
        <w:t>money from capital market, promoters bank upon merchant bankers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manage the whole show by rendering multifarious services. 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merchant</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bankers</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also</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advise</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investors</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incentives</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available</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in</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form</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tax</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reliefs</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and</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other</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statutory</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obligations,</w:t>
      </w:r>
    </w:p>
    <w:p w14:paraId="61C5B015" w14:textId="77777777" w:rsidR="00D01C46" w:rsidRPr="000F082E" w:rsidRDefault="00D01C46" w:rsidP="00D01C46">
      <w:pPr>
        <w:pStyle w:val="BodyText"/>
        <w:spacing w:before="204" w:line="268" w:lineRule="auto"/>
        <w:ind w:right="1655"/>
        <w:rPr>
          <w:rFonts w:asciiTheme="minorHAnsi" w:hAnsiTheme="minorHAnsi" w:cstheme="minorHAnsi"/>
          <w:i w:val="0"/>
          <w:sz w:val="32"/>
          <w:szCs w:val="32"/>
        </w:rPr>
      </w:pPr>
      <w:r w:rsidRPr="000F082E">
        <w:rPr>
          <w:rFonts w:asciiTheme="minorHAnsi" w:hAnsiTheme="minorHAnsi" w:cstheme="minorHAnsi"/>
          <w:i w:val="0"/>
          <w:sz w:val="32"/>
          <w:szCs w:val="32"/>
        </w:rPr>
        <w:t>The</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services</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merchant</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bankers</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are</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described</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in</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detail</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in</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66"/>
          <w:sz w:val="32"/>
          <w:szCs w:val="32"/>
        </w:rPr>
        <w:t xml:space="preserve"> </w:t>
      </w:r>
      <w:r w:rsidRPr="000F082E">
        <w:rPr>
          <w:rFonts w:asciiTheme="minorHAnsi" w:hAnsiTheme="minorHAnsi" w:cstheme="minorHAnsi"/>
          <w:i w:val="0"/>
          <w:sz w:val="32"/>
          <w:szCs w:val="32"/>
        </w:rPr>
        <w:t>following</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section</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w:t>
      </w:r>
    </w:p>
    <w:p w14:paraId="78010C16" w14:textId="77777777" w:rsidR="00D01C46" w:rsidRPr="000F082E" w:rsidRDefault="00D01C46" w:rsidP="00D01C46">
      <w:pPr>
        <w:pStyle w:val="Heading2"/>
        <w:widowControl w:val="0"/>
        <w:numPr>
          <w:ilvl w:val="0"/>
          <w:numId w:val="8"/>
        </w:numPr>
        <w:tabs>
          <w:tab w:val="left" w:pos="409"/>
        </w:tabs>
        <w:autoSpaceDE w:val="0"/>
        <w:autoSpaceDN w:val="0"/>
        <w:spacing w:before="202" w:beforeAutospacing="0" w:after="0" w:afterAutospacing="0"/>
        <w:rPr>
          <w:rFonts w:asciiTheme="minorHAnsi" w:hAnsiTheme="minorHAnsi" w:cstheme="minorHAnsi"/>
          <w:sz w:val="32"/>
          <w:szCs w:val="32"/>
        </w:rPr>
      </w:pPr>
      <w:r w:rsidRPr="000F082E">
        <w:rPr>
          <w:rFonts w:asciiTheme="minorHAnsi" w:hAnsiTheme="minorHAnsi" w:cstheme="minorHAnsi"/>
          <w:w w:val="110"/>
          <w:sz w:val="32"/>
          <w:szCs w:val="32"/>
        </w:rPr>
        <w:t>Corporate</w:t>
      </w:r>
      <w:r w:rsidRPr="000F082E">
        <w:rPr>
          <w:rFonts w:asciiTheme="minorHAnsi" w:hAnsiTheme="minorHAnsi" w:cstheme="minorHAnsi"/>
          <w:spacing w:val="52"/>
          <w:w w:val="110"/>
          <w:sz w:val="32"/>
          <w:szCs w:val="32"/>
        </w:rPr>
        <w:t xml:space="preserve"> </w:t>
      </w:r>
      <w:r w:rsidRPr="000F082E">
        <w:rPr>
          <w:rFonts w:asciiTheme="minorHAnsi" w:hAnsiTheme="minorHAnsi" w:cstheme="minorHAnsi"/>
          <w:w w:val="110"/>
          <w:sz w:val="32"/>
          <w:szCs w:val="32"/>
        </w:rPr>
        <w:t>Counselling</w:t>
      </w:r>
    </w:p>
    <w:p w14:paraId="5B39AEDD" w14:textId="77777777" w:rsidR="00D01C46" w:rsidRPr="000F082E" w:rsidRDefault="00D01C46" w:rsidP="00D01C46">
      <w:pPr>
        <w:pStyle w:val="BodyText"/>
        <w:spacing w:line="268" w:lineRule="auto"/>
        <w:ind w:right="611"/>
        <w:rPr>
          <w:rFonts w:asciiTheme="minorHAnsi" w:hAnsiTheme="minorHAnsi" w:cstheme="minorHAnsi"/>
          <w:i w:val="0"/>
          <w:sz w:val="32"/>
          <w:szCs w:val="32"/>
        </w:rPr>
      </w:pPr>
      <w:r w:rsidRPr="000F082E">
        <w:rPr>
          <w:rFonts w:asciiTheme="minorHAnsi" w:hAnsiTheme="minorHAnsi" w:cstheme="minorHAnsi"/>
          <w:i w:val="0"/>
          <w:sz w:val="32"/>
          <w:szCs w:val="32"/>
        </w:rPr>
        <w:t>Corporate counselling covers the entire field of merchant banking</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activities viz. project counselling, capital restructuring, project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management, public issue management, loan syndication, working</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capital,</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fixed</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deposit,</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lease</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financing,</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acceptance</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credit</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etc.</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scope</w:t>
      </w:r>
      <w:r w:rsidRPr="000F082E">
        <w:rPr>
          <w:rFonts w:asciiTheme="minorHAnsi" w:hAnsiTheme="minorHAnsi" w:cstheme="minorHAnsi"/>
          <w:i w:val="0"/>
          <w:spacing w:val="-66"/>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corporate</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counselling</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is</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limited</w:t>
      </w:r>
      <w:r w:rsidRPr="000F082E">
        <w:rPr>
          <w:rFonts w:asciiTheme="minorHAnsi" w:hAnsiTheme="minorHAnsi" w:cstheme="minorHAnsi"/>
          <w:i w:val="0"/>
          <w:spacing w:val="-13"/>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giving</w:t>
      </w:r>
      <w:r w:rsidRPr="000F082E">
        <w:rPr>
          <w:rFonts w:asciiTheme="minorHAnsi" w:hAnsiTheme="minorHAnsi" w:cstheme="minorHAnsi"/>
          <w:i w:val="0"/>
          <w:spacing w:val="-13"/>
          <w:sz w:val="32"/>
          <w:szCs w:val="32"/>
        </w:rPr>
        <w:t xml:space="preserve"> </w:t>
      </w:r>
      <w:r w:rsidRPr="000F082E">
        <w:rPr>
          <w:rFonts w:asciiTheme="minorHAnsi" w:eastAsia="Times New Roman" w:hAnsiTheme="minorHAnsi" w:cstheme="minorHAnsi"/>
          <w:b/>
          <w:bCs/>
          <w:i w:val="0"/>
          <w:iCs w:val="0"/>
          <w:w w:val="110"/>
          <w:sz w:val="32"/>
          <w:szCs w:val="32"/>
          <w:lang w:val="en-IN" w:eastAsia="en-IN"/>
        </w:rPr>
        <w:t>suggestions</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and</w:t>
      </w:r>
      <w:r w:rsidRPr="000F082E">
        <w:rPr>
          <w:rFonts w:asciiTheme="minorHAnsi" w:hAnsiTheme="minorHAnsi" w:cstheme="minorHAnsi"/>
          <w:i w:val="0"/>
          <w:spacing w:val="-13"/>
          <w:sz w:val="32"/>
          <w:szCs w:val="32"/>
        </w:rPr>
        <w:t xml:space="preserve"> </w:t>
      </w:r>
      <w:r w:rsidRPr="000F082E">
        <w:rPr>
          <w:rFonts w:asciiTheme="minorHAnsi" w:hAnsiTheme="minorHAnsi" w:cstheme="minorHAnsi"/>
          <w:i w:val="0"/>
          <w:sz w:val="32"/>
          <w:szCs w:val="32"/>
        </w:rPr>
        <w:t>opinions</w:t>
      </w:r>
    </w:p>
    <w:p w14:paraId="4872769F" w14:textId="77777777" w:rsidR="00D01C46" w:rsidRPr="000F082E" w:rsidRDefault="00D01C46" w:rsidP="00D01C46">
      <w:pPr>
        <w:pStyle w:val="BodyText"/>
        <w:spacing w:before="93" w:line="268" w:lineRule="auto"/>
        <w:ind w:right="611"/>
        <w:rPr>
          <w:rFonts w:asciiTheme="minorHAnsi" w:hAnsiTheme="minorHAnsi" w:cstheme="minorHAnsi"/>
          <w:i w:val="0"/>
          <w:sz w:val="32"/>
          <w:szCs w:val="32"/>
        </w:rPr>
      </w:pPr>
      <w:r w:rsidRPr="000F082E">
        <w:rPr>
          <w:rFonts w:asciiTheme="minorHAnsi" w:hAnsiTheme="minorHAnsi" w:cstheme="minorHAnsi"/>
          <w:i w:val="0"/>
          <w:sz w:val="32"/>
          <w:szCs w:val="32"/>
        </w:rPr>
        <w:t>to the client and help taking actions to solve their problems. It is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provided</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a</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corporate</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unit</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with</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a</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view</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ensure</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better</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performance,</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maintain</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steady</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growth</w:t>
      </w:r>
      <w:r w:rsidRPr="000F082E">
        <w:rPr>
          <w:rFonts w:asciiTheme="minorHAnsi" w:hAnsiTheme="minorHAnsi" w:cstheme="minorHAnsi"/>
          <w:i w:val="0"/>
          <w:spacing w:val="-8"/>
          <w:sz w:val="32"/>
          <w:szCs w:val="32"/>
        </w:rPr>
        <w:t xml:space="preserve"> </w:t>
      </w:r>
      <w:r w:rsidRPr="000F082E">
        <w:rPr>
          <w:rFonts w:asciiTheme="minorHAnsi" w:hAnsiTheme="minorHAnsi" w:cstheme="minorHAnsi"/>
          <w:i w:val="0"/>
          <w:sz w:val="32"/>
          <w:szCs w:val="32"/>
        </w:rPr>
        <w:t>and</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create</w:t>
      </w:r>
      <w:r w:rsidRPr="000F082E">
        <w:rPr>
          <w:rFonts w:asciiTheme="minorHAnsi" w:hAnsiTheme="minorHAnsi" w:cstheme="minorHAnsi"/>
          <w:i w:val="0"/>
          <w:spacing w:val="-8"/>
          <w:sz w:val="32"/>
          <w:szCs w:val="32"/>
        </w:rPr>
        <w:t xml:space="preserve"> </w:t>
      </w:r>
      <w:r w:rsidRPr="000F082E">
        <w:rPr>
          <w:rFonts w:asciiTheme="minorHAnsi" w:hAnsiTheme="minorHAnsi" w:cstheme="minorHAnsi"/>
          <w:i w:val="0"/>
          <w:sz w:val="32"/>
          <w:szCs w:val="32"/>
        </w:rPr>
        <w:t>better</w:t>
      </w:r>
      <w:r w:rsidRPr="000F082E">
        <w:rPr>
          <w:rFonts w:asciiTheme="minorHAnsi" w:hAnsiTheme="minorHAnsi" w:cstheme="minorHAnsi"/>
          <w:i w:val="0"/>
          <w:spacing w:val="-8"/>
          <w:sz w:val="32"/>
          <w:szCs w:val="32"/>
        </w:rPr>
        <w:t xml:space="preserve"> </w:t>
      </w:r>
      <w:r w:rsidRPr="000F082E">
        <w:rPr>
          <w:rFonts w:asciiTheme="minorHAnsi" w:hAnsiTheme="minorHAnsi" w:cstheme="minorHAnsi"/>
          <w:i w:val="0"/>
          <w:sz w:val="32"/>
          <w:szCs w:val="32"/>
        </w:rPr>
        <w:t>image</w:t>
      </w:r>
      <w:r w:rsidRPr="000F082E">
        <w:rPr>
          <w:rFonts w:asciiTheme="minorHAnsi" w:hAnsiTheme="minorHAnsi" w:cstheme="minorHAnsi"/>
          <w:i w:val="0"/>
          <w:spacing w:val="-8"/>
          <w:sz w:val="32"/>
          <w:szCs w:val="32"/>
        </w:rPr>
        <w:t xml:space="preserve"> </w:t>
      </w:r>
      <w:r w:rsidRPr="000F082E">
        <w:rPr>
          <w:rFonts w:asciiTheme="minorHAnsi" w:hAnsiTheme="minorHAnsi" w:cstheme="minorHAnsi"/>
          <w:i w:val="0"/>
          <w:sz w:val="32"/>
          <w:szCs w:val="32"/>
        </w:rPr>
        <w:t>among</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investors</w:t>
      </w:r>
    </w:p>
    <w:p w14:paraId="714DE2DF" w14:textId="77777777" w:rsidR="00D01C46" w:rsidRPr="000F082E" w:rsidRDefault="00D01C46" w:rsidP="00D01C46">
      <w:pPr>
        <w:spacing w:line="268" w:lineRule="auto"/>
        <w:rPr>
          <w:rFonts w:cstheme="minorHAnsi"/>
          <w:sz w:val="32"/>
          <w:szCs w:val="32"/>
        </w:rPr>
      </w:pPr>
    </w:p>
    <w:p w14:paraId="7F55E856" w14:textId="77777777" w:rsidR="00D01C46" w:rsidRPr="000F082E" w:rsidRDefault="00D01C46" w:rsidP="00D01C46">
      <w:pPr>
        <w:spacing w:line="268" w:lineRule="auto"/>
        <w:rPr>
          <w:rFonts w:cstheme="minorHAnsi"/>
          <w:w w:val="110"/>
          <w:sz w:val="32"/>
          <w:szCs w:val="32"/>
        </w:rPr>
      </w:pPr>
      <w:r w:rsidRPr="000F082E">
        <w:rPr>
          <w:rFonts w:cstheme="minorHAnsi"/>
          <w:w w:val="110"/>
          <w:sz w:val="32"/>
          <w:szCs w:val="32"/>
        </w:rPr>
        <w:t>Project</w:t>
      </w:r>
      <w:r w:rsidRPr="000F082E">
        <w:rPr>
          <w:rFonts w:cstheme="minorHAnsi"/>
          <w:spacing w:val="39"/>
          <w:w w:val="110"/>
          <w:sz w:val="32"/>
          <w:szCs w:val="32"/>
        </w:rPr>
        <w:t xml:space="preserve"> </w:t>
      </w:r>
      <w:r w:rsidRPr="000F082E">
        <w:rPr>
          <w:rFonts w:cstheme="minorHAnsi"/>
          <w:w w:val="110"/>
          <w:sz w:val="32"/>
          <w:szCs w:val="32"/>
        </w:rPr>
        <w:t>Counselling</w:t>
      </w:r>
    </w:p>
    <w:p w14:paraId="1DBF31E4" w14:textId="77777777" w:rsidR="00D01C46" w:rsidRPr="000F082E" w:rsidRDefault="00D01C46" w:rsidP="00D01C46">
      <w:pPr>
        <w:pStyle w:val="BodyText"/>
        <w:spacing w:before="242" w:line="268" w:lineRule="auto"/>
        <w:ind w:right="611" w:firstLine="70"/>
        <w:rPr>
          <w:rFonts w:asciiTheme="minorHAnsi" w:hAnsiTheme="minorHAnsi" w:cstheme="minorHAnsi"/>
          <w:i w:val="0"/>
          <w:sz w:val="32"/>
          <w:szCs w:val="32"/>
        </w:rPr>
      </w:pPr>
      <w:r w:rsidRPr="000F082E">
        <w:rPr>
          <w:rFonts w:asciiTheme="minorHAnsi" w:hAnsiTheme="minorHAnsi" w:cstheme="minorHAnsi"/>
          <w:i w:val="0"/>
          <w:spacing w:val="-1"/>
          <w:sz w:val="32"/>
          <w:szCs w:val="32"/>
        </w:rPr>
        <w:t>Project</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pacing w:val="-1"/>
          <w:sz w:val="32"/>
          <w:szCs w:val="32"/>
        </w:rPr>
        <w:t>counselling</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pacing w:val="-1"/>
          <w:sz w:val="32"/>
          <w:szCs w:val="32"/>
        </w:rPr>
        <w:t>includes</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preparation</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14"/>
          <w:sz w:val="32"/>
          <w:szCs w:val="32"/>
        </w:rPr>
        <w:t xml:space="preserve"> </w:t>
      </w:r>
      <w:r w:rsidRPr="000F082E">
        <w:rPr>
          <w:rFonts w:asciiTheme="minorHAnsi" w:hAnsiTheme="minorHAnsi" w:cstheme="minorHAnsi"/>
          <w:i w:val="0"/>
          <w:sz w:val="32"/>
          <w:szCs w:val="32"/>
        </w:rPr>
        <w:t>project</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reports,</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deciding</w:t>
      </w:r>
      <w:r w:rsidRPr="000F082E">
        <w:rPr>
          <w:rFonts w:asciiTheme="minorHAnsi" w:hAnsiTheme="minorHAnsi" w:cstheme="minorHAnsi"/>
          <w:i w:val="0"/>
          <w:spacing w:val="-66"/>
          <w:sz w:val="32"/>
          <w:szCs w:val="32"/>
        </w:rPr>
        <w:t xml:space="preserve"> </w:t>
      </w:r>
      <w:r w:rsidRPr="000F082E">
        <w:rPr>
          <w:rFonts w:asciiTheme="minorHAnsi" w:hAnsiTheme="minorHAnsi" w:cstheme="minorHAnsi"/>
          <w:i w:val="0"/>
          <w:sz w:val="32"/>
          <w:szCs w:val="32"/>
        </w:rPr>
        <w:t>upon the financing pattern to finance the cost of the project and</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appraising</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project</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report</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with</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financial</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institutions</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or</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banks.</w:t>
      </w:r>
    </w:p>
    <w:p w14:paraId="4AE9BB0A" w14:textId="77777777" w:rsidR="00D01C46" w:rsidRPr="000F082E" w:rsidRDefault="00D01C46" w:rsidP="00D01C46">
      <w:pPr>
        <w:pStyle w:val="BodyText"/>
        <w:spacing w:before="2" w:line="268" w:lineRule="auto"/>
        <w:ind w:right="611"/>
        <w:rPr>
          <w:rFonts w:asciiTheme="minorHAnsi" w:hAnsiTheme="minorHAnsi" w:cstheme="minorHAnsi"/>
          <w:i w:val="0"/>
          <w:sz w:val="32"/>
          <w:szCs w:val="32"/>
        </w:rPr>
      </w:pPr>
      <w:r w:rsidRPr="000F082E">
        <w:rPr>
          <w:rFonts w:asciiTheme="minorHAnsi" w:hAnsiTheme="minorHAnsi" w:cstheme="minorHAnsi"/>
          <w:i w:val="0"/>
          <w:sz w:val="32"/>
          <w:szCs w:val="32"/>
        </w:rPr>
        <w:t>Project reports are prepared to obtain government approval, get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financial</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assistance</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from</w:t>
      </w:r>
      <w:r w:rsidRPr="000F082E">
        <w:rPr>
          <w:rFonts w:asciiTheme="minorHAnsi" w:hAnsiTheme="minorHAnsi" w:cstheme="minorHAnsi"/>
          <w:i w:val="0"/>
          <w:spacing w:val="-14"/>
          <w:sz w:val="32"/>
          <w:szCs w:val="32"/>
        </w:rPr>
        <w:t xml:space="preserve"> </w:t>
      </w:r>
      <w:r w:rsidRPr="000F082E">
        <w:rPr>
          <w:rFonts w:asciiTheme="minorHAnsi" w:hAnsiTheme="minorHAnsi" w:cstheme="minorHAnsi"/>
          <w:i w:val="0"/>
          <w:sz w:val="32"/>
          <w:szCs w:val="32"/>
        </w:rPr>
        <w:t>institutions</w:t>
      </w:r>
      <w:r w:rsidRPr="000F082E">
        <w:rPr>
          <w:rFonts w:asciiTheme="minorHAnsi" w:hAnsiTheme="minorHAnsi" w:cstheme="minorHAnsi"/>
          <w:i w:val="0"/>
          <w:spacing w:val="-14"/>
          <w:sz w:val="32"/>
          <w:szCs w:val="32"/>
        </w:rPr>
        <w:t xml:space="preserve"> </w:t>
      </w:r>
      <w:r w:rsidRPr="000F082E">
        <w:rPr>
          <w:rFonts w:asciiTheme="minorHAnsi" w:hAnsiTheme="minorHAnsi" w:cstheme="minorHAnsi"/>
          <w:i w:val="0"/>
          <w:sz w:val="32"/>
          <w:szCs w:val="32"/>
        </w:rPr>
        <w:t>and</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plan</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for</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public</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issue.</w:t>
      </w:r>
    </w:p>
    <w:p w14:paraId="03B945DA" w14:textId="77777777" w:rsidR="00D01C46" w:rsidRPr="000F082E" w:rsidRDefault="00D01C46" w:rsidP="00D01C46">
      <w:pPr>
        <w:pStyle w:val="BodyText"/>
        <w:spacing w:before="2" w:line="268" w:lineRule="auto"/>
        <w:ind w:right="292"/>
        <w:rPr>
          <w:rFonts w:asciiTheme="minorHAnsi" w:hAnsiTheme="minorHAnsi" w:cstheme="minorHAnsi"/>
          <w:i w:val="0"/>
          <w:sz w:val="32"/>
          <w:szCs w:val="32"/>
        </w:rPr>
      </w:pPr>
      <w:r w:rsidRPr="000F082E">
        <w:rPr>
          <w:rFonts w:asciiTheme="minorHAnsi" w:hAnsiTheme="minorHAnsi" w:cstheme="minorHAnsi"/>
          <w:i w:val="0"/>
          <w:sz w:val="32"/>
          <w:szCs w:val="32"/>
        </w:rPr>
        <w:t>The</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financing</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mix</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is</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be</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decided</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keeping</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in</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view</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rules,</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regulations</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and norms prescribed by the government or followed by financial</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institutions. The projects are appraised, as to the location, technical,</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commercial</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and</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financial</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viability</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project.</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Project</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counselling</w:t>
      </w:r>
    </w:p>
    <w:p w14:paraId="68764EB4" w14:textId="77777777" w:rsidR="00D01C46" w:rsidRPr="000F082E" w:rsidRDefault="00D01C46" w:rsidP="00D01C46">
      <w:pPr>
        <w:spacing w:line="268" w:lineRule="auto"/>
        <w:rPr>
          <w:rFonts w:cstheme="minorHAnsi"/>
          <w:sz w:val="32"/>
          <w:szCs w:val="32"/>
        </w:rPr>
      </w:pPr>
    </w:p>
    <w:p w14:paraId="7269764F" w14:textId="77777777" w:rsidR="00D01C46" w:rsidRPr="000F082E" w:rsidRDefault="00D01C46" w:rsidP="00D01C46">
      <w:pPr>
        <w:spacing w:line="268" w:lineRule="auto"/>
        <w:rPr>
          <w:rFonts w:cstheme="minorHAnsi"/>
          <w:sz w:val="32"/>
          <w:szCs w:val="32"/>
        </w:rPr>
      </w:pPr>
    </w:p>
    <w:p w14:paraId="1E27F54E" w14:textId="77777777" w:rsidR="00D01C46" w:rsidRPr="000F082E" w:rsidRDefault="00D01C46" w:rsidP="00D01C46">
      <w:pPr>
        <w:pStyle w:val="Heading2"/>
        <w:spacing w:before="204"/>
        <w:rPr>
          <w:rFonts w:asciiTheme="minorHAnsi" w:hAnsiTheme="minorHAnsi" w:cstheme="minorHAnsi"/>
          <w:sz w:val="32"/>
          <w:szCs w:val="32"/>
        </w:rPr>
      </w:pPr>
      <w:r w:rsidRPr="000F082E">
        <w:rPr>
          <w:rFonts w:asciiTheme="minorHAnsi" w:hAnsiTheme="minorHAnsi" w:cstheme="minorHAnsi"/>
          <w:w w:val="110"/>
          <w:sz w:val="32"/>
          <w:szCs w:val="32"/>
        </w:rPr>
        <w:t>Loan</w:t>
      </w:r>
      <w:r w:rsidRPr="000F082E">
        <w:rPr>
          <w:rFonts w:asciiTheme="minorHAnsi" w:hAnsiTheme="minorHAnsi" w:cstheme="minorHAnsi"/>
          <w:spacing w:val="18"/>
          <w:w w:val="110"/>
          <w:sz w:val="32"/>
          <w:szCs w:val="32"/>
        </w:rPr>
        <w:t xml:space="preserve"> </w:t>
      </w:r>
      <w:r w:rsidRPr="000F082E">
        <w:rPr>
          <w:rFonts w:asciiTheme="minorHAnsi" w:hAnsiTheme="minorHAnsi" w:cstheme="minorHAnsi"/>
          <w:w w:val="110"/>
          <w:sz w:val="32"/>
          <w:szCs w:val="32"/>
        </w:rPr>
        <w:t>Syndication</w:t>
      </w:r>
    </w:p>
    <w:p w14:paraId="7DFA6BA0" w14:textId="77777777" w:rsidR="00D01C46" w:rsidRPr="000F082E" w:rsidRDefault="00D01C46" w:rsidP="00D01C46">
      <w:pPr>
        <w:pStyle w:val="BodyText"/>
        <w:spacing w:before="242" w:line="268" w:lineRule="auto"/>
        <w:ind w:right="156"/>
        <w:jc w:val="both"/>
        <w:rPr>
          <w:rFonts w:asciiTheme="minorHAnsi" w:hAnsiTheme="minorHAnsi" w:cstheme="minorHAnsi"/>
          <w:i w:val="0"/>
          <w:sz w:val="32"/>
          <w:szCs w:val="32"/>
        </w:rPr>
      </w:pPr>
      <w:r w:rsidRPr="000F082E">
        <w:rPr>
          <w:rFonts w:asciiTheme="minorHAnsi" w:hAnsiTheme="minorHAnsi" w:cstheme="minorHAnsi"/>
          <w:i w:val="0"/>
          <w:sz w:val="32"/>
          <w:szCs w:val="32"/>
        </w:rPr>
        <w:t>Loan syndication refers to assistance rendered by merchant banks to get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mainly term loans for projects. Such loans may be obtained from a single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development finance institution or a syndicate or consortium. Merchant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Bankers help corporate clients to raise syndicated loans from commercial</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banks.</w:t>
      </w:r>
      <w:r w:rsidRPr="000F082E">
        <w:rPr>
          <w:rFonts w:asciiTheme="minorHAnsi" w:hAnsiTheme="minorHAnsi" w:cstheme="minorHAnsi"/>
          <w:i w:val="0"/>
          <w:spacing w:val="-13"/>
          <w:sz w:val="32"/>
          <w:szCs w:val="32"/>
        </w:rPr>
        <w:t xml:space="preserve"> </w:t>
      </w:r>
      <w:r w:rsidRPr="000F082E">
        <w:rPr>
          <w:rFonts w:asciiTheme="minorHAnsi" w:hAnsiTheme="minorHAnsi" w:cstheme="minorHAnsi"/>
          <w:i w:val="0"/>
          <w:sz w:val="32"/>
          <w:szCs w:val="32"/>
        </w:rPr>
        <w:t>Merchant</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Banks</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help</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clients</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approach</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financial</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institutions</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for</w:t>
      </w:r>
      <w:r w:rsidRPr="000F082E">
        <w:rPr>
          <w:rFonts w:asciiTheme="minorHAnsi" w:hAnsiTheme="minorHAnsi" w:cstheme="minorHAnsi"/>
          <w:i w:val="0"/>
          <w:spacing w:val="-12"/>
          <w:sz w:val="32"/>
          <w:szCs w:val="32"/>
        </w:rPr>
        <w:t xml:space="preserve"> </w:t>
      </w:r>
      <w:r w:rsidRPr="000F082E">
        <w:rPr>
          <w:rFonts w:asciiTheme="minorHAnsi" w:hAnsiTheme="minorHAnsi" w:cstheme="minorHAnsi"/>
          <w:i w:val="0"/>
          <w:sz w:val="32"/>
          <w:szCs w:val="32"/>
        </w:rPr>
        <w:t>term</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loans. The decision as to which financial institution should be approached</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depends</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on</w:t>
      </w:r>
      <w:r w:rsidRPr="000F082E">
        <w:rPr>
          <w:rFonts w:asciiTheme="minorHAnsi" w:hAnsiTheme="minorHAnsi" w:cstheme="minorHAnsi"/>
          <w:i w:val="0"/>
          <w:spacing w:val="-5"/>
          <w:sz w:val="32"/>
          <w:szCs w:val="32"/>
        </w:rPr>
        <w:t xml:space="preserve"> </w:t>
      </w:r>
      <w:r w:rsidRPr="000F082E">
        <w:rPr>
          <w:rFonts w:asciiTheme="minorHAnsi" w:hAnsiTheme="minorHAnsi" w:cstheme="minorHAnsi"/>
          <w:i w:val="0"/>
          <w:sz w:val="32"/>
          <w:szCs w:val="32"/>
        </w:rPr>
        <w:t>industry,</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location</w:t>
      </w:r>
      <w:r w:rsidRPr="000F082E">
        <w:rPr>
          <w:rFonts w:asciiTheme="minorHAnsi" w:hAnsiTheme="minorHAnsi" w:cstheme="minorHAnsi"/>
          <w:i w:val="0"/>
          <w:spacing w:val="-5"/>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unit</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and</w:t>
      </w:r>
      <w:r w:rsidRPr="000F082E">
        <w:rPr>
          <w:rFonts w:asciiTheme="minorHAnsi" w:hAnsiTheme="minorHAnsi" w:cstheme="minorHAnsi"/>
          <w:i w:val="0"/>
          <w:spacing w:val="-5"/>
          <w:sz w:val="32"/>
          <w:szCs w:val="32"/>
        </w:rPr>
        <w:t xml:space="preserve"> </w:t>
      </w:r>
      <w:r w:rsidRPr="000F082E">
        <w:rPr>
          <w:rFonts w:asciiTheme="minorHAnsi" w:hAnsiTheme="minorHAnsi" w:cstheme="minorHAnsi"/>
          <w:i w:val="0"/>
          <w:sz w:val="32"/>
          <w:szCs w:val="32"/>
        </w:rPr>
        <w:t>size</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project</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cost.</w:t>
      </w:r>
    </w:p>
    <w:p w14:paraId="0AFFE578" w14:textId="77777777" w:rsidR="00D01C46" w:rsidRPr="000F082E" w:rsidRDefault="00D01C46" w:rsidP="00D01C46">
      <w:pPr>
        <w:pStyle w:val="BodyText"/>
        <w:spacing w:before="206" w:line="268" w:lineRule="auto"/>
        <w:ind w:right="157"/>
        <w:jc w:val="both"/>
        <w:rPr>
          <w:rFonts w:asciiTheme="minorHAnsi" w:hAnsiTheme="minorHAnsi" w:cstheme="minorHAnsi"/>
          <w:i w:val="0"/>
          <w:sz w:val="32"/>
          <w:szCs w:val="32"/>
        </w:rPr>
      </w:pPr>
      <w:r w:rsidRPr="000F082E">
        <w:rPr>
          <w:rFonts w:asciiTheme="minorHAnsi" w:hAnsiTheme="minorHAnsi" w:cstheme="minorHAnsi"/>
          <w:i w:val="0"/>
          <w:sz w:val="32"/>
          <w:szCs w:val="32"/>
        </w:rPr>
        <w:t>The</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Merchant</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Bankers,</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first,</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make</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an</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appraisal</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project</w:t>
      </w:r>
      <w:r w:rsidRPr="000F082E">
        <w:rPr>
          <w:rFonts w:asciiTheme="minorHAnsi" w:hAnsiTheme="minorHAnsi" w:cstheme="minorHAnsi"/>
          <w:i w:val="0"/>
          <w:spacing w:val="-9"/>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10"/>
          <w:sz w:val="32"/>
          <w:szCs w:val="32"/>
        </w:rPr>
        <w:t xml:space="preserve"> </w:t>
      </w:r>
      <w:r w:rsidRPr="000F082E">
        <w:rPr>
          <w:rFonts w:asciiTheme="minorHAnsi" w:hAnsiTheme="minorHAnsi" w:cstheme="minorHAnsi"/>
          <w:i w:val="0"/>
          <w:sz w:val="32"/>
          <w:szCs w:val="32"/>
        </w:rPr>
        <w:t>satisfy</w:t>
      </w:r>
      <w:r w:rsidRPr="000F082E">
        <w:rPr>
          <w:rFonts w:asciiTheme="minorHAnsi" w:hAnsiTheme="minorHAnsi" w:cstheme="minorHAnsi"/>
          <w:i w:val="0"/>
          <w:spacing w:val="-11"/>
          <w:sz w:val="32"/>
          <w:szCs w:val="32"/>
        </w:rPr>
        <w:t xml:space="preserve"> </w:t>
      </w:r>
      <w:r w:rsidRPr="000F082E">
        <w:rPr>
          <w:rFonts w:asciiTheme="minorHAnsi" w:hAnsiTheme="minorHAnsi" w:cstheme="minorHAnsi"/>
          <w:i w:val="0"/>
          <w:sz w:val="32"/>
          <w:szCs w:val="32"/>
        </w:rPr>
        <w:t>that</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it is viable. The next step is designing capital structure. determining 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promoter ' s contribution and arriving at a figure of approximate amount of</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term loan to be raised. The Merchant Banker has to ensure that the project</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adheres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guidelines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for</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financing</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industrial</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projects.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After</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verifications that the project would be eligible for term loan, a preliminary</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meeting is fixed with financial institution. If the financial institution agrees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to consider the proposal, the application is filled in and submitted along</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with</w:t>
      </w:r>
      <w:r w:rsidRPr="000F082E">
        <w:rPr>
          <w:rFonts w:asciiTheme="minorHAnsi" w:hAnsiTheme="minorHAnsi" w:cstheme="minorHAnsi"/>
          <w:i w:val="0"/>
          <w:spacing w:val="59"/>
          <w:sz w:val="32"/>
          <w:szCs w:val="32"/>
        </w:rPr>
        <w:t xml:space="preserve"> </w:t>
      </w:r>
      <w:r w:rsidRPr="000F082E">
        <w:rPr>
          <w:rFonts w:asciiTheme="minorHAnsi" w:hAnsiTheme="minorHAnsi" w:cstheme="minorHAnsi"/>
          <w:i w:val="0"/>
          <w:sz w:val="32"/>
          <w:szCs w:val="32"/>
        </w:rPr>
        <w:t>other</w:t>
      </w:r>
      <w:r w:rsidRPr="000F082E">
        <w:rPr>
          <w:rFonts w:asciiTheme="minorHAnsi" w:hAnsiTheme="minorHAnsi" w:cstheme="minorHAnsi"/>
          <w:i w:val="0"/>
          <w:spacing w:val="59"/>
          <w:sz w:val="32"/>
          <w:szCs w:val="32"/>
        </w:rPr>
        <w:t xml:space="preserve"> </w:t>
      </w:r>
      <w:r w:rsidRPr="000F082E">
        <w:rPr>
          <w:rFonts w:asciiTheme="minorHAnsi" w:hAnsiTheme="minorHAnsi" w:cstheme="minorHAnsi"/>
          <w:i w:val="0"/>
          <w:sz w:val="32"/>
          <w:szCs w:val="32"/>
        </w:rPr>
        <w:t>documents.</w:t>
      </w:r>
      <w:r w:rsidRPr="000F082E">
        <w:rPr>
          <w:rFonts w:asciiTheme="minorHAnsi" w:hAnsiTheme="minorHAnsi" w:cstheme="minorHAnsi"/>
          <w:i w:val="0"/>
          <w:spacing w:val="58"/>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59"/>
          <w:sz w:val="32"/>
          <w:szCs w:val="32"/>
        </w:rPr>
        <w:t xml:space="preserve"> </w:t>
      </w:r>
      <w:r w:rsidRPr="000F082E">
        <w:rPr>
          <w:rFonts w:asciiTheme="minorHAnsi" w:hAnsiTheme="minorHAnsi" w:cstheme="minorHAnsi"/>
          <w:i w:val="0"/>
          <w:sz w:val="32"/>
          <w:szCs w:val="32"/>
        </w:rPr>
        <w:t>Merchant</w:t>
      </w:r>
      <w:r w:rsidRPr="000F082E">
        <w:rPr>
          <w:rFonts w:asciiTheme="minorHAnsi" w:hAnsiTheme="minorHAnsi" w:cstheme="minorHAnsi"/>
          <w:i w:val="0"/>
          <w:spacing w:val="60"/>
          <w:sz w:val="32"/>
          <w:szCs w:val="32"/>
        </w:rPr>
        <w:t xml:space="preserve"> </w:t>
      </w:r>
      <w:r w:rsidRPr="000F082E">
        <w:rPr>
          <w:rFonts w:asciiTheme="minorHAnsi" w:hAnsiTheme="minorHAnsi" w:cstheme="minorHAnsi"/>
          <w:i w:val="0"/>
          <w:sz w:val="32"/>
          <w:szCs w:val="32"/>
        </w:rPr>
        <w:t>Bankers</w:t>
      </w:r>
      <w:r w:rsidRPr="000F082E">
        <w:rPr>
          <w:rFonts w:asciiTheme="minorHAnsi" w:hAnsiTheme="minorHAnsi" w:cstheme="minorHAnsi"/>
          <w:i w:val="0"/>
          <w:spacing w:val="61"/>
          <w:sz w:val="32"/>
          <w:szCs w:val="32"/>
        </w:rPr>
        <w:t xml:space="preserve"> </w:t>
      </w:r>
      <w:r w:rsidRPr="000F082E">
        <w:rPr>
          <w:rFonts w:asciiTheme="minorHAnsi" w:hAnsiTheme="minorHAnsi" w:cstheme="minorHAnsi"/>
          <w:i w:val="0"/>
          <w:sz w:val="32"/>
          <w:szCs w:val="32"/>
        </w:rPr>
        <w:t>involvement</w:t>
      </w:r>
      <w:r w:rsidRPr="000F082E">
        <w:rPr>
          <w:rFonts w:asciiTheme="minorHAnsi" w:hAnsiTheme="minorHAnsi" w:cstheme="minorHAnsi"/>
          <w:i w:val="0"/>
          <w:spacing w:val="60"/>
          <w:sz w:val="32"/>
          <w:szCs w:val="32"/>
        </w:rPr>
        <w:t xml:space="preserve"> </w:t>
      </w:r>
      <w:r w:rsidRPr="000F082E">
        <w:rPr>
          <w:rFonts w:asciiTheme="minorHAnsi" w:hAnsiTheme="minorHAnsi" w:cstheme="minorHAnsi"/>
          <w:i w:val="0"/>
          <w:sz w:val="32"/>
          <w:szCs w:val="32"/>
        </w:rPr>
        <w:t>enables</w:t>
      </w:r>
      <w:r w:rsidRPr="000F082E">
        <w:rPr>
          <w:rFonts w:asciiTheme="minorHAnsi" w:hAnsiTheme="minorHAnsi" w:cstheme="minorHAnsi"/>
          <w:i w:val="0"/>
          <w:spacing w:val="60"/>
          <w:sz w:val="32"/>
          <w:szCs w:val="32"/>
        </w:rPr>
        <w:t xml:space="preserve"> </w:t>
      </w:r>
      <w:r w:rsidRPr="000F082E">
        <w:rPr>
          <w:rFonts w:asciiTheme="minorHAnsi" w:hAnsiTheme="minorHAnsi" w:cstheme="minorHAnsi"/>
          <w:i w:val="0"/>
          <w:sz w:val="32"/>
          <w:szCs w:val="32"/>
        </w:rPr>
        <w:t>the</w:t>
      </w:r>
    </w:p>
    <w:p w14:paraId="03C344FC" w14:textId="77777777" w:rsidR="00D01C46" w:rsidRPr="000F082E" w:rsidRDefault="00D01C46" w:rsidP="00D01C46">
      <w:pPr>
        <w:pStyle w:val="BodyText"/>
        <w:spacing w:before="93" w:line="268" w:lineRule="auto"/>
        <w:ind w:right="158"/>
        <w:jc w:val="both"/>
        <w:rPr>
          <w:rFonts w:asciiTheme="minorHAnsi" w:hAnsiTheme="minorHAnsi" w:cstheme="minorHAnsi"/>
          <w:i w:val="0"/>
          <w:sz w:val="32"/>
          <w:szCs w:val="32"/>
        </w:rPr>
      </w:pPr>
      <w:r w:rsidRPr="000F082E">
        <w:rPr>
          <w:rFonts w:asciiTheme="minorHAnsi" w:hAnsiTheme="minorHAnsi" w:cstheme="minorHAnsi"/>
          <w:i w:val="0"/>
          <w:sz w:val="32"/>
          <w:szCs w:val="32"/>
        </w:rPr>
        <w:t>company to state that it has exercised due diligence in the exercise of</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obligations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under</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variousregulations.</w:t>
      </w:r>
    </w:p>
    <w:p w14:paraId="753A2254" w14:textId="77777777" w:rsidR="00D01C46" w:rsidRPr="000F082E" w:rsidRDefault="00D01C46" w:rsidP="00D01C46">
      <w:pPr>
        <w:pStyle w:val="Heading2"/>
        <w:spacing w:before="202"/>
        <w:rPr>
          <w:rFonts w:asciiTheme="minorHAnsi" w:hAnsiTheme="minorHAnsi" w:cstheme="minorHAnsi"/>
          <w:sz w:val="32"/>
          <w:szCs w:val="32"/>
        </w:rPr>
      </w:pPr>
      <w:r w:rsidRPr="000F082E">
        <w:rPr>
          <w:rFonts w:asciiTheme="minorHAnsi" w:hAnsiTheme="minorHAnsi" w:cstheme="minorHAnsi"/>
          <w:w w:val="110"/>
          <w:sz w:val="32"/>
          <w:szCs w:val="32"/>
        </w:rPr>
        <w:t>(iv)</w:t>
      </w:r>
      <w:r w:rsidRPr="000F082E">
        <w:rPr>
          <w:rFonts w:asciiTheme="minorHAnsi" w:hAnsiTheme="minorHAnsi" w:cstheme="minorHAnsi"/>
          <w:spacing w:val="41"/>
          <w:w w:val="110"/>
          <w:sz w:val="32"/>
          <w:szCs w:val="32"/>
        </w:rPr>
        <w:t xml:space="preserve"> </w:t>
      </w:r>
      <w:r w:rsidRPr="000F082E">
        <w:rPr>
          <w:rFonts w:asciiTheme="minorHAnsi" w:hAnsiTheme="minorHAnsi" w:cstheme="minorHAnsi"/>
          <w:w w:val="110"/>
          <w:sz w:val="32"/>
          <w:szCs w:val="32"/>
        </w:rPr>
        <w:t>Issue</w:t>
      </w:r>
      <w:r w:rsidRPr="000F082E">
        <w:rPr>
          <w:rFonts w:asciiTheme="minorHAnsi" w:hAnsiTheme="minorHAnsi" w:cstheme="minorHAnsi"/>
          <w:spacing w:val="41"/>
          <w:w w:val="110"/>
          <w:sz w:val="32"/>
          <w:szCs w:val="32"/>
        </w:rPr>
        <w:t xml:space="preserve"> </w:t>
      </w:r>
      <w:r w:rsidRPr="000F082E">
        <w:rPr>
          <w:rFonts w:asciiTheme="minorHAnsi" w:hAnsiTheme="minorHAnsi" w:cstheme="minorHAnsi"/>
          <w:w w:val="110"/>
          <w:sz w:val="32"/>
          <w:szCs w:val="32"/>
        </w:rPr>
        <w:t>Management</w:t>
      </w:r>
    </w:p>
    <w:p w14:paraId="51502AF0" w14:textId="77777777" w:rsidR="00D01C46" w:rsidRPr="000F082E" w:rsidRDefault="00D01C46" w:rsidP="00D01C46">
      <w:pPr>
        <w:spacing w:line="268" w:lineRule="auto"/>
        <w:rPr>
          <w:rFonts w:cstheme="minorHAnsi"/>
          <w:sz w:val="32"/>
          <w:szCs w:val="32"/>
        </w:rPr>
      </w:pPr>
    </w:p>
    <w:p w14:paraId="4B6EB8A7" w14:textId="77777777" w:rsidR="00D01C46" w:rsidRPr="000F082E" w:rsidRDefault="00D01C46" w:rsidP="00D01C46">
      <w:pPr>
        <w:spacing w:line="268" w:lineRule="auto"/>
        <w:rPr>
          <w:rFonts w:cstheme="minorHAnsi"/>
          <w:sz w:val="32"/>
          <w:szCs w:val="32"/>
        </w:rPr>
      </w:pPr>
      <w:r w:rsidRPr="000F082E">
        <w:rPr>
          <w:rFonts w:cstheme="minorHAnsi"/>
          <w:sz w:val="32"/>
          <w:szCs w:val="32"/>
        </w:rPr>
        <w:t>Management</w:t>
      </w:r>
      <w:r w:rsidRPr="000F082E">
        <w:rPr>
          <w:rFonts w:cstheme="minorHAnsi"/>
          <w:spacing w:val="-14"/>
          <w:sz w:val="32"/>
          <w:szCs w:val="32"/>
        </w:rPr>
        <w:t xml:space="preserve"> </w:t>
      </w:r>
      <w:r w:rsidRPr="000F082E">
        <w:rPr>
          <w:rFonts w:cstheme="minorHAnsi"/>
          <w:sz w:val="32"/>
          <w:szCs w:val="32"/>
        </w:rPr>
        <w:t>of</w:t>
      </w:r>
      <w:r w:rsidRPr="000F082E">
        <w:rPr>
          <w:rFonts w:cstheme="minorHAnsi"/>
          <w:spacing w:val="-14"/>
          <w:sz w:val="32"/>
          <w:szCs w:val="32"/>
        </w:rPr>
        <w:t xml:space="preserve"> </w:t>
      </w:r>
      <w:r w:rsidRPr="000F082E">
        <w:rPr>
          <w:rFonts w:cstheme="minorHAnsi"/>
          <w:sz w:val="32"/>
          <w:szCs w:val="32"/>
        </w:rPr>
        <w:t>issue</w:t>
      </w:r>
      <w:r w:rsidRPr="000F082E">
        <w:rPr>
          <w:rFonts w:cstheme="minorHAnsi"/>
          <w:spacing w:val="-14"/>
          <w:sz w:val="32"/>
          <w:szCs w:val="32"/>
        </w:rPr>
        <w:t xml:space="preserve"> </w:t>
      </w:r>
      <w:r w:rsidRPr="000F082E">
        <w:rPr>
          <w:rFonts w:cstheme="minorHAnsi"/>
          <w:sz w:val="32"/>
          <w:szCs w:val="32"/>
        </w:rPr>
        <w:t>involves</w:t>
      </w:r>
      <w:r w:rsidRPr="000F082E">
        <w:rPr>
          <w:rFonts w:cstheme="minorHAnsi"/>
          <w:spacing w:val="-13"/>
          <w:sz w:val="32"/>
          <w:szCs w:val="32"/>
        </w:rPr>
        <w:t xml:space="preserve"> </w:t>
      </w:r>
      <w:r w:rsidRPr="000F082E">
        <w:rPr>
          <w:rFonts w:cstheme="minorHAnsi"/>
          <w:sz w:val="32"/>
          <w:szCs w:val="32"/>
        </w:rPr>
        <w:t>marketing</w:t>
      </w:r>
      <w:r w:rsidRPr="000F082E">
        <w:rPr>
          <w:rFonts w:cstheme="minorHAnsi"/>
          <w:spacing w:val="-14"/>
          <w:sz w:val="32"/>
          <w:szCs w:val="32"/>
        </w:rPr>
        <w:t xml:space="preserve"> </w:t>
      </w:r>
      <w:r w:rsidRPr="000F082E">
        <w:rPr>
          <w:rFonts w:cstheme="minorHAnsi"/>
          <w:sz w:val="32"/>
          <w:szCs w:val="32"/>
        </w:rPr>
        <w:t>of</w:t>
      </w:r>
      <w:r w:rsidRPr="000F082E">
        <w:rPr>
          <w:rFonts w:cstheme="minorHAnsi"/>
          <w:spacing w:val="-14"/>
          <w:sz w:val="32"/>
          <w:szCs w:val="32"/>
        </w:rPr>
        <w:t xml:space="preserve"> </w:t>
      </w:r>
      <w:r w:rsidRPr="000F082E">
        <w:rPr>
          <w:rFonts w:cstheme="minorHAnsi"/>
          <w:sz w:val="32"/>
          <w:szCs w:val="32"/>
        </w:rPr>
        <w:t>corporate</w:t>
      </w:r>
      <w:r w:rsidRPr="000F082E">
        <w:rPr>
          <w:rFonts w:cstheme="minorHAnsi"/>
          <w:spacing w:val="-14"/>
          <w:sz w:val="32"/>
          <w:szCs w:val="32"/>
        </w:rPr>
        <w:t xml:space="preserve"> </w:t>
      </w:r>
      <w:r w:rsidRPr="000F082E">
        <w:rPr>
          <w:rFonts w:cstheme="minorHAnsi"/>
          <w:sz w:val="32"/>
          <w:szCs w:val="32"/>
        </w:rPr>
        <w:t>securities</w:t>
      </w:r>
      <w:r w:rsidRPr="000F082E">
        <w:rPr>
          <w:rFonts w:cstheme="minorHAnsi"/>
          <w:spacing w:val="-13"/>
          <w:sz w:val="32"/>
          <w:szCs w:val="32"/>
        </w:rPr>
        <w:t xml:space="preserve"> </w:t>
      </w:r>
      <w:r w:rsidRPr="000F082E">
        <w:rPr>
          <w:rFonts w:cstheme="minorHAnsi"/>
          <w:sz w:val="32"/>
          <w:szCs w:val="32"/>
        </w:rPr>
        <w:t>viz.,</w:t>
      </w:r>
      <w:r w:rsidRPr="000F082E">
        <w:rPr>
          <w:rFonts w:cstheme="minorHAnsi"/>
          <w:spacing w:val="-14"/>
          <w:sz w:val="32"/>
          <w:szCs w:val="32"/>
        </w:rPr>
        <w:t xml:space="preserve"> </w:t>
      </w:r>
      <w:r w:rsidRPr="000F082E">
        <w:rPr>
          <w:rFonts w:cstheme="minorHAnsi"/>
          <w:sz w:val="32"/>
          <w:szCs w:val="32"/>
        </w:rPr>
        <w:t>equity</w:t>
      </w:r>
      <w:r w:rsidRPr="000F082E">
        <w:rPr>
          <w:rFonts w:cstheme="minorHAnsi"/>
          <w:spacing w:val="-67"/>
          <w:sz w:val="32"/>
          <w:szCs w:val="32"/>
        </w:rPr>
        <w:t xml:space="preserve"> </w:t>
      </w:r>
      <w:r w:rsidRPr="000F082E">
        <w:rPr>
          <w:rFonts w:cstheme="minorHAnsi"/>
          <w:sz w:val="32"/>
          <w:szCs w:val="32"/>
        </w:rPr>
        <w:t>shares, preference shares and debentures or bonds by offering them to</w:t>
      </w:r>
      <w:r w:rsidRPr="000F082E">
        <w:rPr>
          <w:rFonts w:cstheme="minorHAnsi"/>
          <w:spacing w:val="1"/>
          <w:sz w:val="32"/>
          <w:szCs w:val="32"/>
        </w:rPr>
        <w:t xml:space="preserve"> </w:t>
      </w:r>
      <w:r w:rsidRPr="000F082E">
        <w:rPr>
          <w:rFonts w:cstheme="minorHAnsi"/>
          <w:sz w:val="32"/>
          <w:szCs w:val="32"/>
        </w:rPr>
        <w:t>public. Merchant banks act as intermediary whose main job is to transfer</w:t>
      </w:r>
      <w:r w:rsidRPr="000F082E">
        <w:rPr>
          <w:rFonts w:cstheme="minorHAnsi"/>
          <w:spacing w:val="1"/>
          <w:sz w:val="32"/>
          <w:szCs w:val="32"/>
        </w:rPr>
        <w:t xml:space="preserve"> </w:t>
      </w:r>
      <w:r w:rsidRPr="000F082E">
        <w:rPr>
          <w:rFonts w:cstheme="minorHAnsi"/>
          <w:sz w:val="32"/>
          <w:szCs w:val="32"/>
        </w:rPr>
        <w:t>capital</w:t>
      </w:r>
      <w:r w:rsidRPr="000F082E">
        <w:rPr>
          <w:rFonts w:cstheme="minorHAnsi"/>
          <w:spacing w:val="-7"/>
          <w:sz w:val="32"/>
          <w:szCs w:val="32"/>
        </w:rPr>
        <w:t xml:space="preserve"> </w:t>
      </w:r>
      <w:r w:rsidRPr="000F082E">
        <w:rPr>
          <w:rFonts w:cstheme="minorHAnsi"/>
          <w:sz w:val="32"/>
          <w:szCs w:val="32"/>
        </w:rPr>
        <w:t>from</w:t>
      </w:r>
      <w:r w:rsidRPr="000F082E">
        <w:rPr>
          <w:rFonts w:cstheme="minorHAnsi"/>
          <w:spacing w:val="-4"/>
          <w:sz w:val="32"/>
          <w:szCs w:val="32"/>
        </w:rPr>
        <w:t xml:space="preserve"> </w:t>
      </w:r>
      <w:r w:rsidRPr="000F082E">
        <w:rPr>
          <w:rFonts w:cstheme="minorHAnsi"/>
          <w:sz w:val="32"/>
          <w:szCs w:val="32"/>
        </w:rPr>
        <w:t>those</w:t>
      </w:r>
      <w:r w:rsidRPr="000F082E">
        <w:rPr>
          <w:rFonts w:cstheme="minorHAnsi"/>
          <w:spacing w:val="-6"/>
          <w:sz w:val="32"/>
          <w:szCs w:val="32"/>
        </w:rPr>
        <w:t xml:space="preserve"> </w:t>
      </w:r>
      <w:r w:rsidRPr="000F082E">
        <w:rPr>
          <w:rFonts w:cstheme="minorHAnsi"/>
          <w:sz w:val="32"/>
          <w:szCs w:val="32"/>
        </w:rPr>
        <w:t>who</w:t>
      </w:r>
      <w:r w:rsidRPr="000F082E">
        <w:rPr>
          <w:rFonts w:cstheme="minorHAnsi"/>
          <w:spacing w:val="-5"/>
          <w:sz w:val="32"/>
          <w:szCs w:val="32"/>
        </w:rPr>
        <w:t xml:space="preserve"> </w:t>
      </w:r>
      <w:r w:rsidRPr="000F082E">
        <w:rPr>
          <w:rFonts w:cstheme="minorHAnsi"/>
          <w:sz w:val="32"/>
          <w:szCs w:val="32"/>
        </w:rPr>
        <w:t>own</w:t>
      </w:r>
      <w:r w:rsidRPr="000F082E">
        <w:rPr>
          <w:rFonts w:cstheme="minorHAnsi"/>
          <w:spacing w:val="-6"/>
          <w:sz w:val="32"/>
          <w:szCs w:val="32"/>
        </w:rPr>
        <w:t xml:space="preserve"> </w:t>
      </w:r>
      <w:r w:rsidRPr="000F082E">
        <w:rPr>
          <w:rFonts w:cstheme="minorHAnsi"/>
          <w:sz w:val="32"/>
          <w:szCs w:val="32"/>
        </w:rPr>
        <w:t>it</w:t>
      </w:r>
      <w:r w:rsidRPr="000F082E">
        <w:rPr>
          <w:rFonts w:cstheme="minorHAnsi"/>
          <w:spacing w:val="-5"/>
          <w:sz w:val="32"/>
          <w:szCs w:val="32"/>
        </w:rPr>
        <w:t xml:space="preserve"> </w:t>
      </w:r>
      <w:r w:rsidRPr="000F082E">
        <w:rPr>
          <w:rFonts w:cstheme="minorHAnsi"/>
          <w:sz w:val="32"/>
          <w:szCs w:val="32"/>
        </w:rPr>
        <w:t>to</w:t>
      </w:r>
      <w:r w:rsidRPr="000F082E">
        <w:rPr>
          <w:rFonts w:cstheme="minorHAnsi"/>
          <w:spacing w:val="-5"/>
          <w:sz w:val="32"/>
          <w:szCs w:val="32"/>
        </w:rPr>
        <w:t xml:space="preserve"> </w:t>
      </w:r>
      <w:r w:rsidRPr="000F082E">
        <w:rPr>
          <w:rFonts w:cstheme="minorHAnsi"/>
          <w:sz w:val="32"/>
          <w:szCs w:val="32"/>
        </w:rPr>
        <w:t>those</w:t>
      </w:r>
      <w:r w:rsidRPr="000F082E">
        <w:rPr>
          <w:rFonts w:cstheme="minorHAnsi"/>
          <w:spacing w:val="-5"/>
          <w:sz w:val="32"/>
          <w:szCs w:val="32"/>
        </w:rPr>
        <w:t xml:space="preserve"> </w:t>
      </w:r>
      <w:r w:rsidRPr="000F082E">
        <w:rPr>
          <w:rFonts w:cstheme="minorHAnsi"/>
          <w:sz w:val="32"/>
          <w:szCs w:val="32"/>
        </w:rPr>
        <w:t>who</w:t>
      </w:r>
      <w:r w:rsidRPr="000F082E">
        <w:rPr>
          <w:rFonts w:cstheme="minorHAnsi"/>
          <w:spacing w:val="-6"/>
          <w:sz w:val="32"/>
          <w:szCs w:val="32"/>
        </w:rPr>
        <w:t xml:space="preserve"> </w:t>
      </w:r>
      <w:r w:rsidRPr="000F082E">
        <w:rPr>
          <w:rFonts w:cstheme="minorHAnsi"/>
          <w:sz w:val="32"/>
          <w:szCs w:val="32"/>
        </w:rPr>
        <w:t>need</w:t>
      </w:r>
      <w:r w:rsidRPr="000F082E">
        <w:rPr>
          <w:rFonts w:cstheme="minorHAnsi"/>
          <w:spacing w:val="-6"/>
          <w:sz w:val="32"/>
          <w:szCs w:val="32"/>
        </w:rPr>
        <w:t xml:space="preserve"> </w:t>
      </w:r>
      <w:r w:rsidRPr="000F082E">
        <w:rPr>
          <w:rFonts w:cstheme="minorHAnsi"/>
          <w:sz w:val="32"/>
          <w:szCs w:val="32"/>
        </w:rPr>
        <w:t>it.</w:t>
      </w:r>
      <w:r w:rsidRPr="000F082E">
        <w:rPr>
          <w:rFonts w:cstheme="minorHAnsi"/>
          <w:spacing w:val="-6"/>
          <w:sz w:val="32"/>
          <w:szCs w:val="32"/>
        </w:rPr>
        <w:t xml:space="preserve"> </w:t>
      </w:r>
      <w:r w:rsidRPr="000F082E">
        <w:rPr>
          <w:rFonts w:cstheme="minorHAnsi"/>
          <w:sz w:val="32"/>
          <w:szCs w:val="32"/>
        </w:rPr>
        <w:t>The</w:t>
      </w:r>
      <w:r w:rsidRPr="000F082E">
        <w:rPr>
          <w:rFonts w:cstheme="minorHAnsi"/>
          <w:spacing w:val="-5"/>
          <w:sz w:val="32"/>
          <w:szCs w:val="32"/>
        </w:rPr>
        <w:t xml:space="preserve"> </w:t>
      </w:r>
      <w:r w:rsidRPr="000F082E">
        <w:rPr>
          <w:rFonts w:cstheme="minorHAnsi"/>
          <w:sz w:val="32"/>
          <w:szCs w:val="32"/>
        </w:rPr>
        <w:t>issue</w:t>
      </w:r>
      <w:r w:rsidRPr="000F082E">
        <w:rPr>
          <w:rFonts w:cstheme="minorHAnsi"/>
          <w:spacing w:val="-6"/>
          <w:sz w:val="32"/>
          <w:szCs w:val="32"/>
        </w:rPr>
        <w:t xml:space="preserve"> </w:t>
      </w:r>
      <w:r w:rsidRPr="000F082E">
        <w:rPr>
          <w:rFonts w:cstheme="minorHAnsi"/>
          <w:sz w:val="32"/>
          <w:szCs w:val="32"/>
        </w:rPr>
        <w:t>function</w:t>
      </w:r>
      <w:r w:rsidRPr="000F082E">
        <w:rPr>
          <w:rFonts w:cstheme="minorHAnsi"/>
          <w:spacing w:val="-6"/>
          <w:sz w:val="32"/>
          <w:szCs w:val="32"/>
        </w:rPr>
        <w:t xml:space="preserve"> </w:t>
      </w:r>
      <w:r w:rsidRPr="000F082E">
        <w:rPr>
          <w:rFonts w:cstheme="minorHAnsi"/>
          <w:sz w:val="32"/>
          <w:szCs w:val="32"/>
        </w:rPr>
        <w:t>may</w:t>
      </w:r>
      <w:r w:rsidRPr="000F082E">
        <w:rPr>
          <w:rFonts w:cstheme="minorHAnsi"/>
          <w:spacing w:val="-67"/>
          <w:sz w:val="32"/>
          <w:szCs w:val="32"/>
        </w:rPr>
        <w:t xml:space="preserve"> </w:t>
      </w:r>
      <w:r w:rsidRPr="000F082E">
        <w:rPr>
          <w:rFonts w:cstheme="minorHAnsi"/>
          <w:sz w:val="32"/>
          <w:szCs w:val="32"/>
        </w:rPr>
        <w:t>be</w:t>
      </w:r>
      <w:r w:rsidRPr="000F082E">
        <w:rPr>
          <w:rFonts w:cstheme="minorHAnsi"/>
          <w:spacing w:val="1"/>
          <w:sz w:val="32"/>
          <w:szCs w:val="32"/>
        </w:rPr>
        <w:t xml:space="preserve"> </w:t>
      </w:r>
      <w:r w:rsidRPr="000F082E">
        <w:rPr>
          <w:rFonts w:cstheme="minorHAnsi"/>
          <w:sz w:val="32"/>
          <w:szCs w:val="32"/>
        </w:rPr>
        <w:t>broadly</w:t>
      </w:r>
      <w:r w:rsidRPr="000F082E">
        <w:rPr>
          <w:rFonts w:cstheme="minorHAnsi"/>
          <w:spacing w:val="1"/>
          <w:sz w:val="32"/>
          <w:szCs w:val="32"/>
        </w:rPr>
        <w:t xml:space="preserve"> </w:t>
      </w:r>
      <w:r w:rsidRPr="000F082E">
        <w:rPr>
          <w:rFonts w:cstheme="minorHAnsi"/>
          <w:sz w:val="32"/>
          <w:szCs w:val="32"/>
        </w:rPr>
        <w:t>dividend</w:t>
      </w:r>
      <w:r w:rsidRPr="000F082E">
        <w:rPr>
          <w:rFonts w:cstheme="minorHAnsi"/>
          <w:spacing w:val="1"/>
          <w:sz w:val="32"/>
          <w:szCs w:val="32"/>
        </w:rPr>
        <w:t xml:space="preserve"> </w:t>
      </w:r>
      <w:r w:rsidRPr="000F082E">
        <w:rPr>
          <w:rFonts w:cstheme="minorHAnsi"/>
          <w:sz w:val="32"/>
          <w:szCs w:val="32"/>
        </w:rPr>
        <w:t>into</w:t>
      </w:r>
      <w:r w:rsidRPr="000F082E">
        <w:rPr>
          <w:rFonts w:cstheme="minorHAnsi"/>
          <w:spacing w:val="1"/>
          <w:sz w:val="32"/>
          <w:szCs w:val="32"/>
        </w:rPr>
        <w:t xml:space="preserve"> </w:t>
      </w:r>
      <w:r w:rsidRPr="000F082E">
        <w:rPr>
          <w:rFonts w:cstheme="minorHAnsi"/>
          <w:sz w:val="32"/>
          <w:szCs w:val="32"/>
        </w:rPr>
        <w:t>pre</w:t>
      </w:r>
      <w:r w:rsidRPr="000F082E">
        <w:rPr>
          <w:rFonts w:cstheme="minorHAnsi"/>
          <w:spacing w:val="1"/>
          <w:sz w:val="32"/>
          <w:szCs w:val="32"/>
        </w:rPr>
        <w:t xml:space="preserve"> </w:t>
      </w:r>
      <w:r w:rsidRPr="000F082E">
        <w:rPr>
          <w:rFonts w:cstheme="minorHAnsi"/>
          <w:sz w:val="32"/>
          <w:szCs w:val="32"/>
        </w:rPr>
        <w:t>–</w:t>
      </w:r>
      <w:r w:rsidRPr="000F082E">
        <w:rPr>
          <w:rFonts w:cstheme="minorHAnsi"/>
          <w:spacing w:val="1"/>
          <w:sz w:val="32"/>
          <w:szCs w:val="32"/>
        </w:rPr>
        <w:t xml:space="preserve"> </w:t>
      </w:r>
      <w:r w:rsidRPr="000F082E">
        <w:rPr>
          <w:rFonts w:cstheme="minorHAnsi"/>
          <w:sz w:val="32"/>
          <w:szCs w:val="32"/>
        </w:rPr>
        <w:t>issue</w:t>
      </w:r>
      <w:r w:rsidRPr="000F082E">
        <w:rPr>
          <w:rFonts w:cstheme="minorHAnsi"/>
          <w:spacing w:val="1"/>
          <w:sz w:val="32"/>
          <w:szCs w:val="32"/>
        </w:rPr>
        <w:t xml:space="preserve"> </w:t>
      </w:r>
      <w:r w:rsidRPr="000F082E">
        <w:rPr>
          <w:rFonts w:cstheme="minorHAnsi"/>
          <w:sz w:val="32"/>
          <w:szCs w:val="32"/>
        </w:rPr>
        <w:t>management</w:t>
      </w:r>
      <w:r w:rsidRPr="000F082E">
        <w:rPr>
          <w:rFonts w:cstheme="minorHAnsi"/>
          <w:spacing w:val="1"/>
          <w:sz w:val="32"/>
          <w:szCs w:val="32"/>
        </w:rPr>
        <w:t xml:space="preserve"> </w:t>
      </w:r>
      <w:r w:rsidRPr="000F082E">
        <w:rPr>
          <w:rFonts w:cstheme="minorHAnsi"/>
          <w:sz w:val="32"/>
          <w:szCs w:val="32"/>
        </w:rPr>
        <w:t>and</w:t>
      </w:r>
      <w:r w:rsidRPr="000F082E">
        <w:rPr>
          <w:rFonts w:cstheme="minorHAnsi"/>
          <w:spacing w:val="1"/>
          <w:sz w:val="32"/>
          <w:szCs w:val="32"/>
        </w:rPr>
        <w:t xml:space="preserve"> </w:t>
      </w:r>
      <w:r w:rsidRPr="000F082E">
        <w:rPr>
          <w:rFonts w:cstheme="minorHAnsi"/>
          <w:sz w:val="32"/>
          <w:szCs w:val="32"/>
        </w:rPr>
        <w:t>post</w:t>
      </w:r>
      <w:r w:rsidRPr="000F082E">
        <w:rPr>
          <w:rFonts w:cstheme="minorHAnsi"/>
          <w:spacing w:val="1"/>
          <w:sz w:val="32"/>
          <w:szCs w:val="32"/>
        </w:rPr>
        <w:t xml:space="preserve"> </w:t>
      </w:r>
      <w:r w:rsidRPr="000F082E">
        <w:rPr>
          <w:rFonts w:cstheme="minorHAnsi"/>
          <w:sz w:val="32"/>
          <w:szCs w:val="32"/>
        </w:rPr>
        <w:t>issue</w:t>
      </w:r>
      <w:r w:rsidRPr="000F082E">
        <w:rPr>
          <w:rFonts w:cstheme="minorHAnsi"/>
          <w:spacing w:val="1"/>
          <w:sz w:val="32"/>
          <w:szCs w:val="32"/>
        </w:rPr>
        <w:t xml:space="preserve"> </w:t>
      </w:r>
      <w:r w:rsidRPr="000F082E">
        <w:rPr>
          <w:rFonts w:cstheme="minorHAnsi"/>
          <w:sz w:val="32"/>
          <w:szCs w:val="32"/>
        </w:rPr>
        <w:t>management. In both the stages, legal requirements have to be complied</w:t>
      </w:r>
      <w:r w:rsidRPr="000F082E">
        <w:rPr>
          <w:rFonts w:cstheme="minorHAnsi"/>
          <w:spacing w:val="1"/>
          <w:sz w:val="32"/>
          <w:szCs w:val="32"/>
        </w:rPr>
        <w:t xml:space="preserve"> </w:t>
      </w:r>
      <w:r w:rsidRPr="000F082E">
        <w:rPr>
          <w:rFonts w:cstheme="minorHAnsi"/>
          <w:sz w:val="32"/>
          <w:szCs w:val="32"/>
        </w:rPr>
        <w:t>with</w:t>
      </w:r>
      <w:r w:rsidRPr="000F082E">
        <w:rPr>
          <w:rFonts w:cstheme="minorHAnsi"/>
          <w:spacing w:val="1"/>
          <w:sz w:val="32"/>
          <w:szCs w:val="32"/>
        </w:rPr>
        <w:t xml:space="preserve"> </w:t>
      </w:r>
      <w:r w:rsidRPr="000F082E">
        <w:rPr>
          <w:rFonts w:cstheme="minorHAnsi"/>
          <w:sz w:val="32"/>
          <w:szCs w:val="32"/>
        </w:rPr>
        <w:t>and</w:t>
      </w:r>
      <w:r w:rsidRPr="000F082E">
        <w:rPr>
          <w:rFonts w:cstheme="minorHAnsi"/>
          <w:spacing w:val="1"/>
          <w:sz w:val="32"/>
          <w:szCs w:val="32"/>
        </w:rPr>
        <w:t xml:space="preserve"> </w:t>
      </w:r>
      <w:r w:rsidRPr="000F082E">
        <w:rPr>
          <w:rFonts w:cstheme="minorHAnsi"/>
          <w:sz w:val="32"/>
          <w:szCs w:val="32"/>
        </w:rPr>
        <w:t>several</w:t>
      </w:r>
      <w:r w:rsidRPr="000F082E">
        <w:rPr>
          <w:rFonts w:cstheme="minorHAnsi"/>
          <w:spacing w:val="1"/>
          <w:sz w:val="32"/>
          <w:szCs w:val="32"/>
        </w:rPr>
        <w:t xml:space="preserve"> </w:t>
      </w:r>
      <w:r w:rsidRPr="000F082E">
        <w:rPr>
          <w:rFonts w:cstheme="minorHAnsi"/>
          <w:sz w:val="32"/>
          <w:szCs w:val="32"/>
        </w:rPr>
        <w:t>activities</w:t>
      </w:r>
      <w:r w:rsidRPr="000F082E">
        <w:rPr>
          <w:rFonts w:cstheme="minorHAnsi"/>
          <w:spacing w:val="1"/>
          <w:sz w:val="32"/>
          <w:szCs w:val="32"/>
        </w:rPr>
        <w:t xml:space="preserve"> </w:t>
      </w:r>
      <w:r w:rsidRPr="000F082E">
        <w:rPr>
          <w:rFonts w:cstheme="minorHAnsi"/>
          <w:sz w:val="32"/>
          <w:szCs w:val="32"/>
        </w:rPr>
        <w:t>connected</w:t>
      </w:r>
      <w:r w:rsidRPr="000F082E">
        <w:rPr>
          <w:rFonts w:cstheme="minorHAnsi"/>
          <w:spacing w:val="1"/>
          <w:sz w:val="32"/>
          <w:szCs w:val="32"/>
        </w:rPr>
        <w:t xml:space="preserve"> </w:t>
      </w:r>
      <w:r w:rsidRPr="000F082E">
        <w:rPr>
          <w:rFonts w:cstheme="minorHAnsi"/>
          <w:sz w:val="32"/>
          <w:szCs w:val="32"/>
        </w:rPr>
        <w:t>with</w:t>
      </w:r>
      <w:r w:rsidRPr="000F082E">
        <w:rPr>
          <w:rFonts w:cstheme="minorHAnsi"/>
          <w:spacing w:val="1"/>
          <w:sz w:val="32"/>
          <w:szCs w:val="32"/>
        </w:rPr>
        <w:t xml:space="preserve"> </w:t>
      </w:r>
      <w:r w:rsidRPr="000F082E">
        <w:rPr>
          <w:rFonts w:cstheme="minorHAnsi"/>
          <w:sz w:val="32"/>
          <w:szCs w:val="32"/>
        </w:rPr>
        <w:t>the</w:t>
      </w:r>
      <w:r w:rsidRPr="000F082E">
        <w:rPr>
          <w:rFonts w:cstheme="minorHAnsi"/>
          <w:spacing w:val="1"/>
          <w:sz w:val="32"/>
          <w:szCs w:val="32"/>
        </w:rPr>
        <w:t xml:space="preserve"> </w:t>
      </w:r>
      <w:r w:rsidRPr="000F082E">
        <w:rPr>
          <w:rFonts w:cstheme="minorHAnsi"/>
          <w:sz w:val="32"/>
          <w:szCs w:val="32"/>
        </w:rPr>
        <w:t>issue</w:t>
      </w:r>
      <w:r w:rsidRPr="000F082E">
        <w:rPr>
          <w:rFonts w:cstheme="minorHAnsi"/>
          <w:spacing w:val="1"/>
          <w:sz w:val="32"/>
          <w:szCs w:val="32"/>
        </w:rPr>
        <w:t xml:space="preserve"> </w:t>
      </w:r>
      <w:r w:rsidRPr="000F082E">
        <w:rPr>
          <w:rFonts w:cstheme="minorHAnsi"/>
          <w:sz w:val="32"/>
          <w:szCs w:val="32"/>
        </w:rPr>
        <w:t>have</w:t>
      </w:r>
      <w:r w:rsidRPr="000F082E">
        <w:rPr>
          <w:rFonts w:cstheme="minorHAnsi"/>
          <w:spacing w:val="1"/>
          <w:sz w:val="32"/>
          <w:szCs w:val="32"/>
        </w:rPr>
        <w:t xml:space="preserve"> </w:t>
      </w:r>
      <w:r w:rsidRPr="000F082E">
        <w:rPr>
          <w:rFonts w:cstheme="minorHAnsi"/>
          <w:sz w:val="32"/>
          <w:szCs w:val="32"/>
        </w:rPr>
        <w:t>to</w:t>
      </w:r>
      <w:r w:rsidRPr="000F082E">
        <w:rPr>
          <w:rFonts w:cstheme="minorHAnsi"/>
          <w:spacing w:val="1"/>
          <w:sz w:val="32"/>
          <w:szCs w:val="32"/>
        </w:rPr>
        <w:t xml:space="preserve"> </w:t>
      </w:r>
      <w:r w:rsidRPr="000F082E">
        <w:rPr>
          <w:rFonts w:cstheme="minorHAnsi"/>
          <w:sz w:val="32"/>
          <w:szCs w:val="32"/>
        </w:rPr>
        <w:t>be</w:t>
      </w:r>
      <w:r w:rsidRPr="000F082E">
        <w:rPr>
          <w:rFonts w:cstheme="minorHAnsi"/>
          <w:spacing w:val="1"/>
          <w:sz w:val="32"/>
          <w:szCs w:val="32"/>
        </w:rPr>
        <w:t xml:space="preserve"> </w:t>
      </w:r>
      <w:r w:rsidRPr="000F082E">
        <w:rPr>
          <w:rFonts w:cstheme="minorHAnsi"/>
          <w:sz w:val="32"/>
          <w:szCs w:val="32"/>
        </w:rPr>
        <w:t>co</w:t>
      </w:r>
      <w:r w:rsidRPr="000F082E">
        <w:rPr>
          <w:rFonts w:cstheme="minorHAnsi"/>
          <w:spacing w:val="1"/>
          <w:sz w:val="32"/>
          <w:szCs w:val="32"/>
        </w:rPr>
        <w:t xml:space="preserve"> </w:t>
      </w:r>
      <w:r w:rsidRPr="000F082E">
        <w:rPr>
          <w:rFonts w:cstheme="minorHAnsi"/>
          <w:sz w:val="32"/>
          <w:szCs w:val="32"/>
        </w:rPr>
        <w:t>-</w:t>
      </w:r>
      <w:r w:rsidRPr="000F082E">
        <w:rPr>
          <w:rFonts w:cstheme="minorHAnsi"/>
          <w:spacing w:val="1"/>
          <w:sz w:val="32"/>
          <w:szCs w:val="32"/>
        </w:rPr>
        <w:t xml:space="preserve"> </w:t>
      </w:r>
      <w:r w:rsidRPr="000F082E">
        <w:rPr>
          <w:rFonts w:cstheme="minorHAnsi"/>
          <w:sz w:val="32"/>
          <w:szCs w:val="32"/>
        </w:rPr>
        <w:t>ordinated</w:t>
      </w:r>
    </w:p>
    <w:p w14:paraId="571442F5" w14:textId="77777777" w:rsidR="00D01C46" w:rsidRPr="000F082E" w:rsidRDefault="00D01C46" w:rsidP="00D01C46">
      <w:pPr>
        <w:spacing w:line="268" w:lineRule="auto"/>
        <w:rPr>
          <w:rFonts w:cstheme="minorHAnsi"/>
          <w:sz w:val="32"/>
          <w:szCs w:val="32"/>
        </w:rPr>
      </w:pPr>
    </w:p>
    <w:p w14:paraId="238164BC" w14:textId="77777777" w:rsidR="00D01C46" w:rsidRPr="000F082E" w:rsidRDefault="00D01C46" w:rsidP="00D01C46">
      <w:pPr>
        <w:pStyle w:val="BodyText"/>
        <w:spacing w:before="207"/>
        <w:jc w:val="both"/>
        <w:rPr>
          <w:rFonts w:asciiTheme="minorHAnsi" w:hAnsiTheme="minorHAnsi" w:cstheme="minorHAnsi"/>
          <w:i w:val="0"/>
          <w:sz w:val="32"/>
          <w:szCs w:val="32"/>
        </w:rPr>
      </w:pPr>
      <w:r w:rsidRPr="000F082E">
        <w:rPr>
          <w:rFonts w:asciiTheme="minorHAnsi" w:hAnsiTheme="minorHAnsi" w:cstheme="minorHAnsi"/>
          <w:i w:val="0"/>
          <w:sz w:val="32"/>
          <w:szCs w:val="32"/>
        </w:rPr>
        <w:t>The</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pre</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issue</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management</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is</w:t>
      </w:r>
      <w:r w:rsidRPr="000F082E">
        <w:rPr>
          <w:rFonts w:asciiTheme="minorHAnsi" w:hAnsiTheme="minorHAnsi" w:cstheme="minorHAnsi"/>
          <w:i w:val="0"/>
          <w:spacing w:val="-14"/>
          <w:sz w:val="32"/>
          <w:szCs w:val="32"/>
        </w:rPr>
        <w:t xml:space="preserve"> </w:t>
      </w:r>
      <w:r w:rsidRPr="000F082E">
        <w:rPr>
          <w:rFonts w:asciiTheme="minorHAnsi" w:hAnsiTheme="minorHAnsi" w:cstheme="minorHAnsi"/>
          <w:i w:val="0"/>
          <w:sz w:val="32"/>
          <w:szCs w:val="32"/>
        </w:rPr>
        <w:t>divided</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into:</w:t>
      </w:r>
    </w:p>
    <w:p w14:paraId="36023D11" w14:textId="77777777" w:rsidR="00D01C46" w:rsidRPr="000F082E" w:rsidRDefault="00D01C46" w:rsidP="00D01C46">
      <w:pPr>
        <w:pStyle w:val="ListParagraph"/>
        <w:numPr>
          <w:ilvl w:val="0"/>
          <w:numId w:val="10"/>
        </w:numPr>
        <w:tabs>
          <w:tab w:val="left" w:pos="471"/>
        </w:tabs>
        <w:spacing w:before="242"/>
        <w:rPr>
          <w:rFonts w:asciiTheme="minorHAnsi" w:hAnsiTheme="minorHAnsi" w:cstheme="minorHAnsi"/>
          <w:sz w:val="32"/>
          <w:szCs w:val="32"/>
        </w:rPr>
      </w:pPr>
      <w:r w:rsidRPr="000F082E">
        <w:rPr>
          <w:rFonts w:asciiTheme="minorHAnsi" w:hAnsiTheme="minorHAnsi" w:cstheme="minorHAnsi"/>
          <w:sz w:val="32"/>
          <w:szCs w:val="32"/>
        </w:rPr>
        <w:t>Issue</w:t>
      </w:r>
      <w:r w:rsidRPr="000F082E">
        <w:rPr>
          <w:rFonts w:asciiTheme="minorHAnsi" w:hAnsiTheme="minorHAnsi" w:cstheme="minorHAnsi"/>
          <w:spacing w:val="-11"/>
          <w:sz w:val="32"/>
          <w:szCs w:val="32"/>
        </w:rPr>
        <w:t xml:space="preserve"> </w:t>
      </w:r>
      <w:r w:rsidRPr="000F082E">
        <w:rPr>
          <w:rFonts w:asciiTheme="minorHAnsi" w:hAnsiTheme="minorHAnsi" w:cstheme="minorHAnsi"/>
          <w:sz w:val="32"/>
          <w:szCs w:val="32"/>
        </w:rPr>
        <w:t>through</w:t>
      </w:r>
      <w:r w:rsidRPr="000F082E">
        <w:rPr>
          <w:rFonts w:asciiTheme="minorHAnsi" w:hAnsiTheme="minorHAnsi" w:cstheme="minorHAnsi"/>
          <w:spacing w:val="-11"/>
          <w:sz w:val="32"/>
          <w:szCs w:val="32"/>
        </w:rPr>
        <w:t xml:space="preserve"> </w:t>
      </w:r>
      <w:r w:rsidRPr="000F082E">
        <w:rPr>
          <w:rFonts w:asciiTheme="minorHAnsi" w:hAnsiTheme="minorHAnsi" w:cstheme="minorHAnsi"/>
          <w:sz w:val="32"/>
          <w:szCs w:val="32"/>
        </w:rPr>
        <w:t>prospectus,</w:t>
      </w:r>
      <w:r w:rsidRPr="000F082E">
        <w:rPr>
          <w:rFonts w:asciiTheme="minorHAnsi" w:hAnsiTheme="minorHAnsi" w:cstheme="minorHAnsi"/>
          <w:spacing w:val="-10"/>
          <w:sz w:val="32"/>
          <w:szCs w:val="32"/>
        </w:rPr>
        <w:t xml:space="preserve"> </w:t>
      </w:r>
      <w:r w:rsidRPr="000F082E">
        <w:rPr>
          <w:rFonts w:asciiTheme="minorHAnsi" w:hAnsiTheme="minorHAnsi" w:cstheme="minorHAnsi"/>
          <w:sz w:val="32"/>
          <w:szCs w:val="32"/>
        </w:rPr>
        <w:t>offer</w:t>
      </w:r>
      <w:r w:rsidRPr="000F082E">
        <w:rPr>
          <w:rFonts w:asciiTheme="minorHAnsi" w:hAnsiTheme="minorHAnsi" w:cstheme="minorHAnsi"/>
          <w:spacing w:val="-11"/>
          <w:sz w:val="32"/>
          <w:szCs w:val="32"/>
        </w:rPr>
        <w:t xml:space="preserve"> </w:t>
      </w:r>
      <w:r w:rsidRPr="000F082E">
        <w:rPr>
          <w:rFonts w:asciiTheme="minorHAnsi" w:hAnsiTheme="minorHAnsi" w:cstheme="minorHAnsi"/>
          <w:sz w:val="32"/>
          <w:szCs w:val="32"/>
        </w:rPr>
        <w:t>for</w:t>
      </w:r>
      <w:r w:rsidRPr="000F082E">
        <w:rPr>
          <w:rFonts w:asciiTheme="minorHAnsi" w:hAnsiTheme="minorHAnsi" w:cstheme="minorHAnsi"/>
          <w:spacing w:val="-11"/>
          <w:sz w:val="32"/>
          <w:szCs w:val="32"/>
        </w:rPr>
        <w:t xml:space="preserve"> </w:t>
      </w:r>
      <w:r w:rsidRPr="000F082E">
        <w:rPr>
          <w:rFonts w:asciiTheme="minorHAnsi" w:hAnsiTheme="minorHAnsi" w:cstheme="minorHAnsi"/>
          <w:sz w:val="32"/>
          <w:szCs w:val="32"/>
        </w:rPr>
        <w:t>sale</w:t>
      </w:r>
      <w:r w:rsidRPr="000F082E">
        <w:rPr>
          <w:rFonts w:asciiTheme="minorHAnsi" w:hAnsiTheme="minorHAnsi" w:cstheme="minorHAnsi"/>
          <w:spacing w:val="-11"/>
          <w:sz w:val="32"/>
          <w:szCs w:val="32"/>
        </w:rPr>
        <w:t xml:space="preserve"> </w:t>
      </w:r>
      <w:r w:rsidRPr="000F082E">
        <w:rPr>
          <w:rFonts w:asciiTheme="minorHAnsi" w:hAnsiTheme="minorHAnsi" w:cstheme="minorHAnsi"/>
          <w:sz w:val="32"/>
          <w:szCs w:val="32"/>
        </w:rPr>
        <w:t>and</w:t>
      </w:r>
      <w:r w:rsidRPr="000F082E">
        <w:rPr>
          <w:rFonts w:asciiTheme="minorHAnsi" w:hAnsiTheme="minorHAnsi" w:cstheme="minorHAnsi"/>
          <w:spacing w:val="-12"/>
          <w:sz w:val="32"/>
          <w:szCs w:val="32"/>
        </w:rPr>
        <w:t xml:space="preserve"> </w:t>
      </w:r>
      <w:r w:rsidRPr="000F082E">
        <w:rPr>
          <w:rFonts w:asciiTheme="minorHAnsi" w:hAnsiTheme="minorHAnsi" w:cstheme="minorHAnsi"/>
          <w:sz w:val="32"/>
          <w:szCs w:val="32"/>
        </w:rPr>
        <w:t>private</w:t>
      </w:r>
      <w:r w:rsidRPr="000F082E">
        <w:rPr>
          <w:rFonts w:asciiTheme="minorHAnsi" w:hAnsiTheme="minorHAnsi" w:cstheme="minorHAnsi"/>
          <w:spacing w:val="-11"/>
          <w:sz w:val="32"/>
          <w:szCs w:val="32"/>
        </w:rPr>
        <w:t xml:space="preserve"> </w:t>
      </w:r>
      <w:r w:rsidRPr="000F082E">
        <w:rPr>
          <w:rFonts w:asciiTheme="minorHAnsi" w:hAnsiTheme="minorHAnsi" w:cstheme="minorHAnsi"/>
          <w:sz w:val="32"/>
          <w:szCs w:val="32"/>
        </w:rPr>
        <w:t>placement.</w:t>
      </w:r>
    </w:p>
    <w:p w14:paraId="0EED7492" w14:textId="77777777" w:rsidR="00D01C46" w:rsidRPr="000F082E" w:rsidRDefault="00D01C46" w:rsidP="00D01C46">
      <w:pPr>
        <w:pStyle w:val="ListParagraph"/>
        <w:numPr>
          <w:ilvl w:val="0"/>
          <w:numId w:val="10"/>
        </w:numPr>
        <w:tabs>
          <w:tab w:val="left" w:pos="538"/>
          <w:tab w:val="left" w:pos="4459"/>
        </w:tabs>
        <w:ind w:left="537" w:hanging="398"/>
        <w:rPr>
          <w:rFonts w:asciiTheme="minorHAnsi" w:hAnsiTheme="minorHAnsi" w:cstheme="minorHAnsi"/>
          <w:sz w:val="32"/>
          <w:szCs w:val="32"/>
        </w:rPr>
      </w:pPr>
      <w:r w:rsidRPr="000F082E">
        <w:rPr>
          <w:rFonts w:asciiTheme="minorHAnsi" w:hAnsiTheme="minorHAnsi" w:cstheme="minorHAnsi"/>
          <w:sz w:val="32"/>
          <w:szCs w:val="32"/>
        </w:rPr>
        <w:t>Marketing</w:t>
      </w:r>
      <w:r w:rsidRPr="000F082E">
        <w:rPr>
          <w:rFonts w:asciiTheme="minorHAnsi" w:hAnsiTheme="minorHAnsi" w:cstheme="minorHAnsi"/>
          <w:spacing w:val="-18"/>
          <w:sz w:val="32"/>
          <w:szCs w:val="32"/>
        </w:rPr>
        <w:t xml:space="preserve"> </w:t>
      </w:r>
      <w:r w:rsidRPr="000F082E">
        <w:rPr>
          <w:rFonts w:asciiTheme="minorHAnsi" w:hAnsiTheme="minorHAnsi" w:cstheme="minorHAnsi"/>
          <w:sz w:val="32"/>
          <w:szCs w:val="32"/>
        </w:rPr>
        <w:t>and</w:t>
      </w:r>
      <w:r w:rsidRPr="000F082E">
        <w:rPr>
          <w:rFonts w:asciiTheme="minorHAnsi" w:hAnsiTheme="minorHAnsi" w:cstheme="minorHAnsi"/>
          <w:spacing w:val="-17"/>
          <w:sz w:val="32"/>
          <w:szCs w:val="32"/>
        </w:rPr>
        <w:t xml:space="preserve"> </w:t>
      </w:r>
      <w:r w:rsidRPr="000F082E">
        <w:rPr>
          <w:rFonts w:asciiTheme="minorHAnsi" w:hAnsiTheme="minorHAnsi" w:cstheme="minorHAnsi"/>
          <w:sz w:val="32"/>
          <w:szCs w:val="32"/>
        </w:rPr>
        <w:t>underwriting.</w:t>
      </w:r>
      <w:r w:rsidRPr="000F082E">
        <w:rPr>
          <w:rFonts w:asciiTheme="minorHAnsi" w:hAnsiTheme="minorHAnsi" w:cstheme="minorHAnsi"/>
          <w:sz w:val="32"/>
          <w:szCs w:val="32"/>
        </w:rPr>
        <w:tab/>
        <w:t>(iii)</w:t>
      </w:r>
      <w:r w:rsidRPr="000F082E">
        <w:rPr>
          <w:rFonts w:asciiTheme="minorHAnsi" w:hAnsiTheme="minorHAnsi" w:cstheme="minorHAnsi"/>
          <w:spacing w:val="-8"/>
          <w:sz w:val="32"/>
          <w:szCs w:val="32"/>
        </w:rPr>
        <w:t xml:space="preserve"> </w:t>
      </w:r>
      <w:r w:rsidRPr="000F082E">
        <w:rPr>
          <w:rFonts w:asciiTheme="minorHAnsi" w:hAnsiTheme="minorHAnsi" w:cstheme="minorHAnsi"/>
          <w:sz w:val="32"/>
          <w:szCs w:val="32"/>
        </w:rPr>
        <w:t>Pricing</w:t>
      </w:r>
      <w:r w:rsidRPr="000F082E">
        <w:rPr>
          <w:rFonts w:asciiTheme="minorHAnsi" w:hAnsiTheme="minorHAnsi" w:cstheme="minorHAnsi"/>
          <w:spacing w:val="-8"/>
          <w:sz w:val="32"/>
          <w:szCs w:val="32"/>
        </w:rPr>
        <w:t xml:space="preserve"> </w:t>
      </w:r>
      <w:r w:rsidRPr="000F082E">
        <w:rPr>
          <w:rFonts w:asciiTheme="minorHAnsi" w:hAnsiTheme="minorHAnsi" w:cstheme="minorHAnsi"/>
          <w:sz w:val="32"/>
          <w:szCs w:val="32"/>
        </w:rPr>
        <w:t>of</w:t>
      </w:r>
      <w:r w:rsidRPr="000F082E">
        <w:rPr>
          <w:rFonts w:asciiTheme="minorHAnsi" w:hAnsiTheme="minorHAnsi" w:cstheme="minorHAnsi"/>
          <w:spacing w:val="-7"/>
          <w:sz w:val="32"/>
          <w:szCs w:val="32"/>
        </w:rPr>
        <w:t xml:space="preserve"> </w:t>
      </w:r>
      <w:r w:rsidRPr="000F082E">
        <w:rPr>
          <w:rFonts w:asciiTheme="minorHAnsi" w:hAnsiTheme="minorHAnsi" w:cstheme="minorHAnsi"/>
          <w:sz w:val="32"/>
          <w:szCs w:val="32"/>
        </w:rPr>
        <w:t>Issues,</w:t>
      </w:r>
    </w:p>
    <w:p w14:paraId="469DABC7" w14:textId="77777777" w:rsidR="00D01C46" w:rsidRPr="000F082E" w:rsidRDefault="00D01C46" w:rsidP="00D01C46">
      <w:pPr>
        <w:pStyle w:val="Heading2"/>
        <w:widowControl w:val="0"/>
        <w:numPr>
          <w:ilvl w:val="0"/>
          <w:numId w:val="9"/>
        </w:numPr>
        <w:tabs>
          <w:tab w:val="left" w:pos="616"/>
        </w:tabs>
        <w:autoSpaceDE w:val="0"/>
        <w:autoSpaceDN w:val="0"/>
        <w:spacing w:before="241" w:beforeAutospacing="0" w:after="0" w:afterAutospacing="0"/>
        <w:jc w:val="left"/>
        <w:rPr>
          <w:rFonts w:asciiTheme="minorHAnsi" w:hAnsiTheme="minorHAnsi" w:cstheme="minorHAnsi"/>
          <w:sz w:val="32"/>
          <w:szCs w:val="32"/>
        </w:rPr>
      </w:pPr>
      <w:r w:rsidRPr="000F082E">
        <w:rPr>
          <w:rFonts w:asciiTheme="minorHAnsi" w:hAnsiTheme="minorHAnsi" w:cstheme="minorHAnsi"/>
          <w:w w:val="110"/>
          <w:sz w:val="32"/>
          <w:szCs w:val="32"/>
        </w:rPr>
        <w:t>Underwriting</w:t>
      </w:r>
      <w:r w:rsidRPr="000F082E">
        <w:rPr>
          <w:rFonts w:asciiTheme="minorHAnsi" w:hAnsiTheme="minorHAnsi" w:cstheme="minorHAnsi"/>
          <w:spacing w:val="27"/>
          <w:w w:val="110"/>
          <w:sz w:val="32"/>
          <w:szCs w:val="32"/>
        </w:rPr>
        <w:t xml:space="preserve"> </w:t>
      </w:r>
      <w:r w:rsidRPr="000F082E">
        <w:rPr>
          <w:rFonts w:asciiTheme="minorHAnsi" w:hAnsiTheme="minorHAnsi" w:cstheme="minorHAnsi"/>
          <w:w w:val="110"/>
          <w:sz w:val="32"/>
          <w:szCs w:val="32"/>
        </w:rPr>
        <w:t>of</w:t>
      </w:r>
      <w:r w:rsidRPr="000F082E">
        <w:rPr>
          <w:rFonts w:asciiTheme="minorHAnsi" w:hAnsiTheme="minorHAnsi" w:cstheme="minorHAnsi"/>
          <w:spacing w:val="29"/>
          <w:w w:val="110"/>
          <w:sz w:val="32"/>
          <w:szCs w:val="32"/>
        </w:rPr>
        <w:t xml:space="preserve"> </w:t>
      </w:r>
      <w:r w:rsidRPr="000F082E">
        <w:rPr>
          <w:rFonts w:asciiTheme="minorHAnsi" w:hAnsiTheme="minorHAnsi" w:cstheme="minorHAnsi"/>
          <w:w w:val="110"/>
          <w:sz w:val="32"/>
          <w:szCs w:val="32"/>
        </w:rPr>
        <w:t>Public</w:t>
      </w:r>
      <w:r w:rsidRPr="000F082E">
        <w:rPr>
          <w:rFonts w:asciiTheme="minorHAnsi" w:hAnsiTheme="minorHAnsi" w:cstheme="minorHAnsi"/>
          <w:spacing w:val="27"/>
          <w:w w:val="110"/>
          <w:sz w:val="32"/>
          <w:szCs w:val="32"/>
        </w:rPr>
        <w:t xml:space="preserve"> </w:t>
      </w:r>
      <w:r w:rsidRPr="000F082E">
        <w:rPr>
          <w:rFonts w:asciiTheme="minorHAnsi" w:hAnsiTheme="minorHAnsi" w:cstheme="minorHAnsi"/>
          <w:w w:val="110"/>
          <w:sz w:val="32"/>
          <w:szCs w:val="32"/>
        </w:rPr>
        <w:t>Issue</w:t>
      </w:r>
    </w:p>
    <w:p w14:paraId="29D3C79D" w14:textId="77777777" w:rsidR="00D01C46" w:rsidRPr="000F082E" w:rsidRDefault="00D01C46" w:rsidP="00D01C46">
      <w:pPr>
        <w:pStyle w:val="BodyText"/>
        <w:spacing w:before="242" w:line="268" w:lineRule="auto"/>
        <w:ind w:right="157"/>
        <w:jc w:val="both"/>
        <w:rPr>
          <w:rFonts w:asciiTheme="minorHAnsi" w:hAnsiTheme="minorHAnsi" w:cstheme="minorHAnsi"/>
          <w:i w:val="0"/>
          <w:sz w:val="32"/>
          <w:szCs w:val="32"/>
        </w:rPr>
      </w:pPr>
      <w:r w:rsidRPr="000F082E">
        <w:rPr>
          <w:rFonts w:asciiTheme="minorHAnsi" w:hAnsiTheme="minorHAnsi" w:cstheme="minorHAnsi"/>
          <w:i w:val="0"/>
          <w:sz w:val="32"/>
          <w:szCs w:val="32"/>
        </w:rPr>
        <w:t>Underwriting is a guarantee given by the underwriter that in the event of</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under</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subscription</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amount</w:t>
      </w:r>
      <w:r w:rsidRPr="000F082E">
        <w:rPr>
          <w:rFonts w:asciiTheme="minorHAnsi" w:hAnsiTheme="minorHAnsi" w:cstheme="minorHAnsi"/>
          <w:i w:val="0"/>
          <w:spacing w:val="-15"/>
          <w:sz w:val="32"/>
          <w:szCs w:val="32"/>
        </w:rPr>
        <w:t xml:space="preserve"> </w:t>
      </w:r>
      <w:r w:rsidRPr="000F082E">
        <w:rPr>
          <w:rFonts w:asciiTheme="minorHAnsi" w:hAnsiTheme="minorHAnsi" w:cstheme="minorHAnsi"/>
          <w:i w:val="0"/>
          <w:sz w:val="32"/>
          <w:szCs w:val="32"/>
        </w:rPr>
        <w:t>underwritten,</w:t>
      </w:r>
      <w:r w:rsidRPr="000F082E">
        <w:rPr>
          <w:rFonts w:asciiTheme="minorHAnsi" w:hAnsiTheme="minorHAnsi" w:cstheme="minorHAnsi"/>
          <w:i w:val="0"/>
          <w:spacing w:val="-14"/>
          <w:sz w:val="32"/>
          <w:szCs w:val="32"/>
        </w:rPr>
        <w:t xml:space="preserve"> </w:t>
      </w:r>
      <w:r w:rsidRPr="000F082E">
        <w:rPr>
          <w:rFonts w:asciiTheme="minorHAnsi" w:hAnsiTheme="minorHAnsi" w:cstheme="minorHAnsi"/>
          <w:i w:val="0"/>
          <w:sz w:val="32"/>
          <w:szCs w:val="32"/>
        </w:rPr>
        <w:t>would</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be</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subscribed</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by</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him.</w:t>
      </w:r>
      <w:r w:rsidRPr="000F082E">
        <w:rPr>
          <w:rFonts w:asciiTheme="minorHAnsi" w:hAnsiTheme="minorHAnsi" w:cstheme="minorHAnsi"/>
          <w:i w:val="0"/>
          <w:spacing w:val="-16"/>
          <w:sz w:val="32"/>
          <w:szCs w:val="32"/>
        </w:rPr>
        <w:t xml:space="preserve"> </w:t>
      </w:r>
      <w:r w:rsidRPr="000F082E">
        <w:rPr>
          <w:rFonts w:asciiTheme="minorHAnsi" w:hAnsiTheme="minorHAnsi" w:cstheme="minorHAnsi"/>
          <w:i w:val="0"/>
          <w:sz w:val="32"/>
          <w:szCs w:val="32"/>
        </w:rPr>
        <w:t>It</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is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an</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insurance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company</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which</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proposes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make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public</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offer</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against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risk</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under</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subscription.</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issues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packed</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by</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well-known</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underwriters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generally</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receive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high</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premium</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from</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public.</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This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enables</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issuing</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company</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to</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sell</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securities</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quickly.</w:t>
      </w:r>
    </w:p>
    <w:p w14:paraId="3C9D8F1A" w14:textId="77777777" w:rsidR="00D01C46" w:rsidRPr="000F082E" w:rsidRDefault="00D01C46" w:rsidP="00D01C46">
      <w:pPr>
        <w:pStyle w:val="Heading2"/>
        <w:widowControl w:val="0"/>
        <w:numPr>
          <w:ilvl w:val="0"/>
          <w:numId w:val="9"/>
        </w:numPr>
        <w:tabs>
          <w:tab w:val="left" w:pos="616"/>
        </w:tabs>
        <w:autoSpaceDE w:val="0"/>
        <w:autoSpaceDN w:val="0"/>
        <w:spacing w:before="205" w:beforeAutospacing="0" w:after="0" w:afterAutospacing="0"/>
        <w:ind w:hanging="476"/>
        <w:jc w:val="left"/>
        <w:rPr>
          <w:rFonts w:asciiTheme="minorHAnsi" w:hAnsiTheme="minorHAnsi" w:cstheme="minorHAnsi"/>
          <w:sz w:val="32"/>
          <w:szCs w:val="32"/>
        </w:rPr>
      </w:pPr>
      <w:r w:rsidRPr="000F082E">
        <w:rPr>
          <w:rFonts w:asciiTheme="minorHAnsi" w:hAnsiTheme="minorHAnsi" w:cstheme="minorHAnsi"/>
          <w:w w:val="110"/>
          <w:sz w:val="32"/>
          <w:szCs w:val="32"/>
        </w:rPr>
        <w:t>Managers,</w:t>
      </w:r>
      <w:r w:rsidRPr="000F082E">
        <w:rPr>
          <w:rFonts w:asciiTheme="minorHAnsi" w:hAnsiTheme="minorHAnsi" w:cstheme="minorHAnsi"/>
          <w:spacing w:val="36"/>
          <w:w w:val="110"/>
          <w:sz w:val="32"/>
          <w:szCs w:val="32"/>
        </w:rPr>
        <w:t xml:space="preserve"> </w:t>
      </w:r>
      <w:r w:rsidRPr="000F082E">
        <w:rPr>
          <w:rFonts w:asciiTheme="minorHAnsi" w:hAnsiTheme="minorHAnsi" w:cstheme="minorHAnsi"/>
          <w:w w:val="110"/>
          <w:sz w:val="32"/>
          <w:szCs w:val="32"/>
        </w:rPr>
        <w:t>Consultants</w:t>
      </w:r>
      <w:r w:rsidRPr="000F082E">
        <w:rPr>
          <w:rFonts w:asciiTheme="minorHAnsi" w:hAnsiTheme="minorHAnsi" w:cstheme="minorHAnsi"/>
          <w:spacing w:val="36"/>
          <w:w w:val="110"/>
          <w:sz w:val="32"/>
          <w:szCs w:val="32"/>
        </w:rPr>
        <w:t xml:space="preserve"> </w:t>
      </w:r>
      <w:r w:rsidRPr="000F082E">
        <w:rPr>
          <w:rFonts w:asciiTheme="minorHAnsi" w:hAnsiTheme="minorHAnsi" w:cstheme="minorHAnsi"/>
          <w:w w:val="110"/>
          <w:sz w:val="32"/>
          <w:szCs w:val="32"/>
        </w:rPr>
        <w:t>or</w:t>
      </w:r>
      <w:r w:rsidRPr="000F082E">
        <w:rPr>
          <w:rFonts w:asciiTheme="minorHAnsi" w:hAnsiTheme="minorHAnsi" w:cstheme="minorHAnsi"/>
          <w:spacing w:val="36"/>
          <w:w w:val="110"/>
          <w:sz w:val="32"/>
          <w:szCs w:val="32"/>
        </w:rPr>
        <w:t xml:space="preserve"> </w:t>
      </w:r>
      <w:r w:rsidRPr="000F082E">
        <w:rPr>
          <w:rFonts w:asciiTheme="minorHAnsi" w:hAnsiTheme="minorHAnsi" w:cstheme="minorHAnsi"/>
          <w:w w:val="110"/>
          <w:sz w:val="32"/>
          <w:szCs w:val="32"/>
        </w:rPr>
        <w:t>Advisers</w:t>
      </w:r>
      <w:r w:rsidRPr="000F082E">
        <w:rPr>
          <w:rFonts w:asciiTheme="minorHAnsi" w:hAnsiTheme="minorHAnsi" w:cstheme="minorHAnsi"/>
          <w:spacing w:val="36"/>
          <w:w w:val="110"/>
          <w:sz w:val="32"/>
          <w:szCs w:val="32"/>
        </w:rPr>
        <w:t xml:space="preserve"> </w:t>
      </w:r>
      <w:r w:rsidRPr="000F082E">
        <w:rPr>
          <w:rFonts w:asciiTheme="minorHAnsi" w:hAnsiTheme="minorHAnsi" w:cstheme="minorHAnsi"/>
          <w:w w:val="110"/>
          <w:sz w:val="32"/>
          <w:szCs w:val="32"/>
        </w:rPr>
        <w:t>to</w:t>
      </w:r>
      <w:r w:rsidRPr="000F082E">
        <w:rPr>
          <w:rFonts w:asciiTheme="minorHAnsi" w:hAnsiTheme="minorHAnsi" w:cstheme="minorHAnsi"/>
          <w:spacing w:val="34"/>
          <w:w w:val="110"/>
          <w:sz w:val="32"/>
          <w:szCs w:val="32"/>
        </w:rPr>
        <w:t xml:space="preserve"> </w:t>
      </w:r>
      <w:r w:rsidRPr="000F082E">
        <w:rPr>
          <w:rFonts w:asciiTheme="minorHAnsi" w:hAnsiTheme="minorHAnsi" w:cstheme="minorHAnsi"/>
          <w:w w:val="110"/>
          <w:sz w:val="32"/>
          <w:szCs w:val="32"/>
        </w:rPr>
        <w:t>the</w:t>
      </w:r>
      <w:r w:rsidRPr="000F082E">
        <w:rPr>
          <w:rFonts w:asciiTheme="minorHAnsi" w:hAnsiTheme="minorHAnsi" w:cstheme="minorHAnsi"/>
          <w:spacing w:val="35"/>
          <w:w w:val="110"/>
          <w:sz w:val="32"/>
          <w:szCs w:val="32"/>
        </w:rPr>
        <w:t xml:space="preserve"> </w:t>
      </w:r>
      <w:r w:rsidRPr="000F082E">
        <w:rPr>
          <w:rFonts w:asciiTheme="minorHAnsi" w:hAnsiTheme="minorHAnsi" w:cstheme="minorHAnsi"/>
          <w:w w:val="110"/>
          <w:sz w:val="32"/>
          <w:szCs w:val="32"/>
        </w:rPr>
        <w:t>Issue</w:t>
      </w:r>
    </w:p>
    <w:p w14:paraId="0387B3B6" w14:textId="77777777" w:rsidR="00D01C46" w:rsidRPr="000F082E" w:rsidRDefault="00D01C46" w:rsidP="00D01C46">
      <w:pPr>
        <w:pStyle w:val="BodyText"/>
        <w:spacing w:before="242" w:line="268" w:lineRule="auto"/>
        <w:ind w:right="157"/>
        <w:jc w:val="both"/>
        <w:rPr>
          <w:rFonts w:asciiTheme="minorHAnsi" w:hAnsiTheme="minorHAnsi" w:cstheme="minorHAnsi"/>
          <w:i w:val="0"/>
          <w:sz w:val="32"/>
          <w:szCs w:val="32"/>
        </w:rPr>
      </w:pPr>
      <w:r w:rsidRPr="000F082E">
        <w:rPr>
          <w:rFonts w:asciiTheme="minorHAnsi" w:hAnsiTheme="minorHAnsi" w:cstheme="minorHAnsi"/>
          <w:i w:val="0"/>
          <w:sz w:val="32"/>
          <w:szCs w:val="32"/>
        </w:rPr>
        <w:t>The managers to the issue assist in the drafting of prospectus, application</w:t>
      </w:r>
      <w:r w:rsidRPr="000F082E">
        <w:rPr>
          <w:rFonts w:asciiTheme="minorHAnsi" w:hAnsiTheme="minorHAnsi" w:cstheme="minorHAnsi"/>
          <w:i w:val="0"/>
          <w:spacing w:val="-67"/>
          <w:sz w:val="32"/>
          <w:szCs w:val="32"/>
        </w:rPr>
        <w:t xml:space="preserve"> </w:t>
      </w:r>
      <w:r w:rsidRPr="000F082E">
        <w:rPr>
          <w:rFonts w:asciiTheme="minorHAnsi" w:hAnsiTheme="minorHAnsi" w:cstheme="minorHAnsi"/>
          <w:i w:val="0"/>
          <w:sz w:val="32"/>
          <w:szCs w:val="32"/>
        </w:rPr>
        <w:t>forms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and</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completion</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formalities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under</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Companies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Act,</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appointment of Registrar for dealing with share applications and transfer</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and</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listing</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shares</w:t>
      </w:r>
      <w:r w:rsidRPr="000F082E">
        <w:rPr>
          <w:rFonts w:asciiTheme="minorHAnsi" w:hAnsiTheme="minorHAnsi" w:cstheme="minorHAnsi"/>
          <w:i w:val="0"/>
          <w:spacing w:val="-1"/>
          <w:sz w:val="32"/>
          <w:szCs w:val="32"/>
        </w:rPr>
        <w:t xml:space="preserve"> </w:t>
      </w:r>
      <w:r w:rsidRPr="000F082E">
        <w:rPr>
          <w:rFonts w:asciiTheme="minorHAnsi" w:hAnsiTheme="minorHAnsi" w:cstheme="minorHAnsi"/>
          <w:i w:val="0"/>
          <w:sz w:val="32"/>
          <w:szCs w:val="32"/>
        </w:rPr>
        <w:t>of</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company</w:t>
      </w:r>
      <w:r w:rsidRPr="000F082E">
        <w:rPr>
          <w:rFonts w:asciiTheme="minorHAnsi" w:hAnsiTheme="minorHAnsi" w:cstheme="minorHAnsi"/>
          <w:i w:val="0"/>
          <w:spacing w:val="-4"/>
          <w:sz w:val="32"/>
          <w:szCs w:val="32"/>
        </w:rPr>
        <w:t xml:space="preserve"> </w:t>
      </w:r>
      <w:r w:rsidRPr="000F082E">
        <w:rPr>
          <w:rFonts w:asciiTheme="minorHAnsi" w:hAnsiTheme="minorHAnsi" w:cstheme="minorHAnsi"/>
          <w:i w:val="0"/>
          <w:sz w:val="32"/>
          <w:szCs w:val="32"/>
        </w:rPr>
        <w:t>on</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the</w:t>
      </w:r>
      <w:r w:rsidRPr="000F082E">
        <w:rPr>
          <w:rFonts w:asciiTheme="minorHAnsi" w:hAnsiTheme="minorHAnsi" w:cstheme="minorHAnsi"/>
          <w:i w:val="0"/>
          <w:spacing w:val="-3"/>
          <w:sz w:val="32"/>
          <w:szCs w:val="32"/>
        </w:rPr>
        <w:t xml:space="preserve"> </w:t>
      </w:r>
      <w:r w:rsidRPr="000F082E">
        <w:rPr>
          <w:rFonts w:asciiTheme="minorHAnsi" w:hAnsiTheme="minorHAnsi" w:cstheme="minorHAnsi"/>
          <w:i w:val="0"/>
          <w:sz w:val="32"/>
          <w:szCs w:val="32"/>
        </w:rPr>
        <w:t>stock</w:t>
      </w:r>
      <w:r w:rsidRPr="000F082E">
        <w:rPr>
          <w:rFonts w:asciiTheme="minorHAnsi" w:hAnsiTheme="minorHAnsi" w:cstheme="minorHAnsi"/>
          <w:i w:val="0"/>
          <w:spacing w:val="-2"/>
          <w:sz w:val="32"/>
          <w:szCs w:val="32"/>
        </w:rPr>
        <w:t xml:space="preserve"> </w:t>
      </w:r>
      <w:r w:rsidRPr="000F082E">
        <w:rPr>
          <w:rFonts w:asciiTheme="minorHAnsi" w:hAnsiTheme="minorHAnsi" w:cstheme="minorHAnsi"/>
          <w:i w:val="0"/>
          <w:sz w:val="32"/>
          <w:szCs w:val="32"/>
        </w:rPr>
        <w:t>exchange.</w:t>
      </w:r>
    </w:p>
    <w:p w14:paraId="4EF62C53" w14:textId="5F1E95CF" w:rsidR="00D01C46" w:rsidRPr="000F082E" w:rsidRDefault="00D01C46" w:rsidP="00D01C46">
      <w:pPr>
        <w:spacing w:line="268" w:lineRule="auto"/>
        <w:rPr>
          <w:rFonts w:cstheme="minorHAnsi"/>
          <w:sz w:val="32"/>
          <w:szCs w:val="32"/>
        </w:rPr>
        <w:sectPr w:rsidR="00D01C46" w:rsidRPr="000F082E">
          <w:pgSz w:w="12240" w:h="15840"/>
          <w:pgMar w:top="1540" w:right="1280" w:bottom="1740" w:left="1300" w:header="719" w:footer="1551" w:gutter="0"/>
          <w:cols w:space="720"/>
        </w:sectPr>
      </w:pPr>
      <w:r w:rsidRPr="000F082E">
        <w:rPr>
          <w:rFonts w:cstheme="minorHAnsi"/>
          <w:sz w:val="32"/>
          <w:szCs w:val="32"/>
        </w:rPr>
        <w:t>Companies</w:t>
      </w:r>
      <w:r w:rsidRPr="000F082E">
        <w:rPr>
          <w:rFonts w:cstheme="minorHAnsi"/>
          <w:spacing w:val="17"/>
          <w:sz w:val="32"/>
          <w:szCs w:val="32"/>
        </w:rPr>
        <w:t xml:space="preserve"> </w:t>
      </w:r>
      <w:r w:rsidRPr="000F082E">
        <w:rPr>
          <w:rFonts w:cstheme="minorHAnsi"/>
          <w:sz w:val="32"/>
          <w:szCs w:val="32"/>
        </w:rPr>
        <w:t>are</w:t>
      </w:r>
      <w:r w:rsidRPr="000F082E">
        <w:rPr>
          <w:rFonts w:cstheme="minorHAnsi"/>
          <w:spacing w:val="17"/>
          <w:sz w:val="32"/>
          <w:szCs w:val="32"/>
        </w:rPr>
        <w:t xml:space="preserve"> </w:t>
      </w:r>
      <w:r w:rsidRPr="000F082E">
        <w:rPr>
          <w:rFonts w:cstheme="minorHAnsi"/>
          <w:sz w:val="32"/>
          <w:szCs w:val="32"/>
        </w:rPr>
        <w:t>free</w:t>
      </w:r>
      <w:r w:rsidRPr="000F082E">
        <w:rPr>
          <w:rFonts w:cstheme="minorHAnsi"/>
          <w:spacing w:val="17"/>
          <w:sz w:val="32"/>
          <w:szCs w:val="32"/>
        </w:rPr>
        <w:t xml:space="preserve"> </w:t>
      </w:r>
      <w:r w:rsidRPr="000F082E">
        <w:rPr>
          <w:rFonts w:cstheme="minorHAnsi"/>
          <w:sz w:val="32"/>
          <w:szCs w:val="32"/>
        </w:rPr>
        <w:t>to</w:t>
      </w:r>
      <w:r w:rsidRPr="000F082E">
        <w:rPr>
          <w:rFonts w:cstheme="minorHAnsi"/>
          <w:spacing w:val="16"/>
          <w:sz w:val="32"/>
          <w:szCs w:val="32"/>
        </w:rPr>
        <w:t xml:space="preserve"> </w:t>
      </w:r>
      <w:r w:rsidRPr="000F082E">
        <w:rPr>
          <w:rFonts w:cstheme="minorHAnsi"/>
          <w:sz w:val="32"/>
          <w:szCs w:val="32"/>
        </w:rPr>
        <w:t>appoint</w:t>
      </w:r>
      <w:r w:rsidRPr="000F082E">
        <w:rPr>
          <w:rFonts w:cstheme="minorHAnsi"/>
          <w:spacing w:val="18"/>
          <w:sz w:val="32"/>
          <w:szCs w:val="32"/>
        </w:rPr>
        <w:t xml:space="preserve"> </w:t>
      </w:r>
      <w:r w:rsidRPr="000F082E">
        <w:rPr>
          <w:rFonts w:cstheme="minorHAnsi"/>
          <w:sz w:val="32"/>
          <w:szCs w:val="32"/>
        </w:rPr>
        <w:t>one</w:t>
      </w:r>
      <w:r w:rsidRPr="000F082E">
        <w:rPr>
          <w:rFonts w:cstheme="minorHAnsi"/>
          <w:spacing w:val="17"/>
          <w:sz w:val="32"/>
          <w:szCs w:val="32"/>
        </w:rPr>
        <w:t xml:space="preserve"> </w:t>
      </w:r>
      <w:r w:rsidRPr="000F082E">
        <w:rPr>
          <w:rFonts w:cstheme="minorHAnsi"/>
          <w:sz w:val="32"/>
          <w:szCs w:val="32"/>
        </w:rPr>
        <w:t>or</w:t>
      </w:r>
      <w:r w:rsidRPr="000F082E">
        <w:rPr>
          <w:rFonts w:cstheme="minorHAnsi"/>
          <w:spacing w:val="17"/>
          <w:sz w:val="32"/>
          <w:szCs w:val="32"/>
        </w:rPr>
        <w:t xml:space="preserve"> </w:t>
      </w:r>
      <w:r w:rsidRPr="000F082E">
        <w:rPr>
          <w:rFonts w:cstheme="minorHAnsi"/>
          <w:sz w:val="32"/>
          <w:szCs w:val="32"/>
        </w:rPr>
        <w:t>more</w:t>
      </w:r>
      <w:r w:rsidRPr="000F082E">
        <w:rPr>
          <w:rFonts w:cstheme="minorHAnsi"/>
          <w:spacing w:val="16"/>
          <w:sz w:val="32"/>
          <w:szCs w:val="32"/>
        </w:rPr>
        <w:t xml:space="preserve"> </w:t>
      </w:r>
      <w:r w:rsidRPr="000F082E">
        <w:rPr>
          <w:rFonts w:cstheme="minorHAnsi"/>
          <w:sz w:val="32"/>
          <w:szCs w:val="32"/>
        </w:rPr>
        <w:t>agencies</w:t>
      </w:r>
      <w:r w:rsidRPr="000F082E">
        <w:rPr>
          <w:rFonts w:cstheme="minorHAnsi"/>
          <w:spacing w:val="18"/>
          <w:sz w:val="32"/>
          <w:szCs w:val="32"/>
        </w:rPr>
        <w:t xml:space="preserve"> </w:t>
      </w:r>
      <w:r w:rsidRPr="000F082E">
        <w:rPr>
          <w:rFonts w:cstheme="minorHAnsi"/>
          <w:sz w:val="32"/>
          <w:szCs w:val="32"/>
        </w:rPr>
        <w:t>as</w:t>
      </w:r>
      <w:r w:rsidRPr="000F082E">
        <w:rPr>
          <w:rFonts w:cstheme="minorHAnsi"/>
          <w:spacing w:val="18"/>
          <w:sz w:val="32"/>
          <w:szCs w:val="32"/>
        </w:rPr>
        <w:t xml:space="preserve"> </w:t>
      </w:r>
      <w:r w:rsidRPr="000F082E">
        <w:rPr>
          <w:rFonts w:cstheme="minorHAnsi"/>
          <w:sz w:val="32"/>
          <w:szCs w:val="32"/>
        </w:rPr>
        <w:t>managers</w:t>
      </w:r>
      <w:r w:rsidRPr="000F082E">
        <w:rPr>
          <w:rFonts w:cstheme="minorHAnsi"/>
          <w:spacing w:val="17"/>
          <w:sz w:val="32"/>
          <w:szCs w:val="32"/>
        </w:rPr>
        <w:t xml:space="preserve"> </w:t>
      </w:r>
      <w:r w:rsidRPr="000F082E">
        <w:rPr>
          <w:rFonts w:cstheme="minorHAnsi"/>
          <w:sz w:val="32"/>
          <w:szCs w:val="32"/>
        </w:rPr>
        <w:t>to</w:t>
      </w:r>
      <w:r w:rsidRPr="000F082E">
        <w:rPr>
          <w:rFonts w:cstheme="minorHAnsi"/>
          <w:spacing w:val="17"/>
          <w:sz w:val="32"/>
          <w:szCs w:val="32"/>
        </w:rPr>
        <w:t xml:space="preserve"> </w:t>
      </w:r>
      <w:r w:rsidRPr="000F082E">
        <w:rPr>
          <w:rFonts w:cstheme="minorHAnsi"/>
          <w:sz w:val="32"/>
          <w:szCs w:val="32"/>
        </w:rPr>
        <w:t>the issue. SEBI guidelines insist that all issues should be managed by atleast</w:t>
      </w:r>
      <w:r w:rsidRPr="000F082E">
        <w:rPr>
          <w:rFonts w:cstheme="minorHAnsi"/>
          <w:spacing w:val="1"/>
          <w:sz w:val="32"/>
          <w:szCs w:val="32"/>
        </w:rPr>
        <w:t xml:space="preserve"> </w:t>
      </w:r>
      <w:r w:rsidRPr="000F082E">
        <w:rPr>
          <w:rFonts w:cstheme="minorHAnsi"/>
          <w:sz w:val="32"/>
          <w:szCs w:val="32"/>
        </w:rPr>
        <w:t>one authorized merchant banker. Ordinarily, not more than two merchant</w:t>
      </w:r>
      <w:r w:rsidRPr="000F082E">
        <w:rPr>
          <w:rFonts w:cstheme="minorHAnsi"/>
          <w:spacing w:val="1"/>
          <w:sz w:val="32"/>
          <w:szCs w:val="32"/>
        </w:rPr>
        <w:t xml:space="preserve"> </w:t>
      </w:r>
      <w:r w:rsidRPr="000F082E">
        <w:rPr>
          <w:rFonts w:cstheme="minorHAnsi"/>
          <w:sz w:val="32"/>
          <w:szCs w:val="32"/>
        </w:rPr>
        <w:t>bankers should be associated as lead managers, advisers and consultants</w:t>
      </w:r>
      <w:r w:rsidRPr="000F082E">
        <w:rPr>
          <w:rFonts w:cstheme="minorHAnsi"/>
          <w:spacing w:val="-67"/>
          <w:sz w:val="32"/>
          <w:szCs w:val="32"/>
        </w:rPr>
        <w:t xml:space="preserve"> </w:t>
      </w:r>
      <w:r w:rsidRPr="000F082E">
        <w:rPr>
          <w:rFonts w:cstheme="minorHAnsi"/>
          <w:sz w:val="32"/>
          <w:szCs w:val="32"/>
        </w:rPr>
        <w:t>to a public issue. In issues of over Rs. 100 crores, upto a maximum of four</w:t>
      </w:r>
      <w:r w:rsidRPr="000F082E">
        <w:rPr>
          <w:rFonts w:cstheme="minorHAnsi"/>
          <w:spacing w:val="1"/>
          <w:sz w:val="32"/>
          <w:szCs w:val="32"/>
        </w:rPr>
        <w:t xml:space="preserve"> </w:t>
      </w:r>
      <w:r w:rsidRPr="000F082E">
        <w:rPr>
          <w:rFonts w:cstheme="minorHAnsi"/>
          <w:sz w:val="32"/>
          <w:szCs w:val="32"/>
        </w:rPr>
        <w:t>merchant</w:t>
      </w:r>
      <w:r w:rsidRPr="000F082E">
        <w:rPr>
          <w:rFonts w:cstheme="minorHAnsi"/>
          <w:spacing w:val="-2"/>
          <w:sz w:val="32"/>
          <w:szCs w:val="32"/>
        </w:rPr>
        <w:t xml:space="preserve"> </w:t>
      </w:r>
      <w:r w:rsidRPr="000F082E">
        <w:rPr>
          <w:rFonts w:cstheme="minorHAnsi"/>
          <w:sz w:val="32"/>
          <w:szCs w:val="32"/>
        </w:rPr>
        <w:t>bankers</w:t>
      </w:r>
      <w:r w:rsidRPr="000F082E">
        <w:rPr>
          <w:rFonts w:cstheme="minorHAnsi"/>
          <w:spacing w:val="-1"/>
          <w:sz w:val="32"/>
          <w:szCs w:val="32"/>
        </w:rPr>
        <w:t xml:space="preserve"> </w:t>
      </w:r>
      <w:r w:rsidRPr="000F082E">
        <w:rPr>
          <w:rFonts w:cstheme="minorHAnsi"/>
          <w:sz w:val="32"/>
          <w:szCs w:val="32"/>
        </w:rPr>
        <w:t>could</w:t>
      </w:r>
      <w:r w:rsidRPr="000F082E">
        <w:rPr>
          <w:rFonts w:cstheme="minorHAnsi"/>
          <w:spacing w:val="-3"/>
          <w:sz w:val="32"/>
          <w:szCs w:val="32"/>
        </w:rPr>
        <w:t xml:space="preserve"> </w:t>
      </w:r>
      <w:r w:rsidRPr="000F082E">
        <w:rPr>
          <w:rFonts w:cstheme="minorHAnsi"/>
          <w:sz w:val="32"/>
          <w:szCs w:val="32"/>
        </w:rPr>
        <w:t>be</w:t>
      </w:r>
      <w:r w:rsidRPr="000F082E">
        <w:rPr>
          <w:rFonts w:cstheme="minorHAnsi"/>
          <w:spacing w:val="-2"/>
          <w:sz w:val="32"/>
          <w:szCs w:val="32"/>
        </w:rPr>
        <w:t xml:space="preserve"> </w:t>
      </w:r>
      <w:r w:rsidRPr="000F082E">
        <w:rPr>
          <w:rFonts w:cstheme="minorHAnsi"/>
          <w:sz w:val="32"/>
          <w:szCs w:val="32"/>
        </w:rPr>
        <w:t>associated</w:t>
      </w:r>
      <w:r w:rsidRPr="000F082E">
        <w:rPr>
          <w:rFonts w:cstheme="minorHAnsi"/>
          <w:spacing w:val="-2"/>
          <w:sz w:val="32"/>
          <w:szCs w:val="32"/>
        </w:rPr>
        <w:t xml:space="preserve"> </w:t>
      </w:r>
      <w:r w:rsidRPr="000F082E">
        <w:rPr>
          <w:rFonts w:cstheme="minorHAnsi"/>
          <w:sz w:val="32"/>
          <w:szCs w:val="32"/>
        </w:rPr>
        <w:t>as</w:t>
      </w:r>
      <w:r w:rsidRPr="000F082E">
        <w:rPr>
          <w:rFonts w:cstheme="minorHAnsi"/>
          <w:spacing w:val="-2"/>
          <w:sz w:val="32"/>
          <w:szCs w:val="32"/>
        </w:rPr>
        <w:t xml:space="preserve"> </w:t>
      </w:r>
      <w:r w:rsidRPr="000F082E">
        <w:rPr>
          <w:rFonts w:cstheme="minorHAnsi"/>
          <w:sz w:val="32"/>
          <w:szCs w:val="32"/>
        </w:rPr>
        <w:t>managers</w:t>
      </w:r>
    </w:p>
    <w:p w14:paraId="1E20DB8F" w14:textId="77777777" w:rsidR="00F13FAD" w:rsidRDefault="00F13FAD" w:rsidP="00F13FAD">
      <w:pPr>
        <w:rPr>
          <w:rFonts w:ascii="Times New Roman" w:hAnsi="Times New Roman" w:cs="Times New Roman"/>
          <w:b/>
          <w:sz w:val="28"/>
          <w:szCs w:val="28"/>
          <w:u w:val="single"/>
        </w:rPr>
      </w:pPr>
      <w:r>
        <w:rPr>
          <w:rFonts w:ascii="Times New Roman" w:hAnsi="Times New Roman" w:cs="Times New Roman"/>
          <w:b/>
          <w:sz w:val="28"/>
          <w:szCs w:val="28"/>
          <w:u w:val="single"/>
        </w:rPr>
        <w:t>Chapter 2 – Secondary Market</w:t>
      </w:r>
    </w:p>
    <w:p w14:paraId="6D93B36B" w14:textId="77777777" w:rsidR="00F13FAD" w:rsidRDefault="00F13FAD" w:rsidP="00F13FAD">
      <w:pPr>
        <w:rPr>
          <w:rFonts w:ascii="Times New Roman" w:hAnsi="Times New Roman" w:cs="Times New Roman"/>
          <w:b/>
          <w:sz w:val="28"/>
          <w:szCs w:val="28"/>
          <w:u w:val="single"/>
        </w:rPr>
      </w:pPr>
    </w:p>
    <w:p w14:paraId="56571218" w14:textId="77777777" w:rsidR="00F13FAD" w:rsidRPr="00F92AFD" w:rsidRDefault="00F13FAD" w:rsidP="00F13FAD">
      <w:pPr>
        <w:rPr>
          <w:rFonts w:ascii="Times New Roman" w:hAnsi="Times New Roman" w:cs="Times New Roman"/>
          <w:b/>
          <w:sz w:val="28"/>
          <w:szCs w:val="28"/>
          <w:u w:val="single"/>
        </w:rPr>
      </w:pPr>
      <w:r w:rsidRPr="00F92AFD">
        <w:rPr>
          <w:rFonts w:ascii="Times New Roman" w:hAnsi="Times New Roman" w:cs="Times New Roman"/>
          <w:b/>
          <w:sz w:val="28"/>
          <w:szCs w:val="28"/>
          <w:u w:val="single"/>
        </w:rPr>
        <w:t>Definitions and functions of Stock Exchange</w:t>
      </w:r>
    </w:p>
    <w:p w14:paraId="655E173B" w14:textId="77777777" w:rsidR="00F13FAD" w:rsidRDefault="00F13FAD" w:rsidP="00F13FAD">
      <w:pPr>
        <w:pStyle w:val="NormalWeb"/>
        <w:shd w:val="clear" w:color="auto" w:fill="FFFFFF"/>
        <w:spacing w:before="0" w:beforeAutospacing="0" w:after="240" w:afterAutospacing="0" w:line="360" w:lineRule="atLeast"/>
        <w:rPr>
          <w:rFonts w:ascii="Arial" w:hAnsi="Arial" w:cs="Arial"/>
          <w:color w:val="444444"/>
        </w:rPr>
      </w:pPr>
      <w:r>
        <w:rPr>
          <w:rFonts w:ascii="Arial" w:hAnsi="Arial" w:cs="Arial"/>
          <w:color w:val="444444"/>
        </w:rPr>
        <w:t>A stock exchange is an important factor in the capital market. It is a secure place where trading is done in a systematic way. Here, the securities are bought and sold as per well-structured rules and regulations. Securities mentioned here includes debenture and share issued by a public company that is correctly listed at the stock exchange, debenture and bonds issued by the government bodies, municipal and public bodies.</w:t>
      </w:r>
    </w:p>
    <w:p w14:paraId="65AE1D94" w14:textId="77777777" w:rsidR="00F13FAD" w:rsidRPr="00902782" w:rsidRDefault="00F13FAD" w:rsidP="00F13FAD">
      <w:pPr>
        <w:shd w:val="clear" w:color="auto" w:fill="FFFFFF"/>
        <w:spacing w:before="300" w:after="150" w:line="480" w:lineRule="atLeast"/>
        <w:outlineLvl w:val="1"/>
        <w:rPr>
          <w:rFonts w:ascii="Arial" w:eastAsia="Times New Roman" w:hAnsi="Arial" w:cs="Arial"/>
          <w:b/>
          <w:bCs/>
          <w:color w:val="444444"/>
          <w:sz w:val="36"/>
          <w:szCs w:val="36"/>
          <w:lang w:val="en-IN" w:eastAsia="en-IN"/>
        </w:rPr>
      </w:pPr>
      <w:r w:rsidRPr="00902782">
        <w:rPr>
          <w:rFonts w:ascii="Arial" w:eastAsia="Times New Roman" w:hAnsi="Arial" w:cs="Arial"/>
          <w:b/>
          <w:bCs/>
          <w:color w:val="444444"/>
          <w:sz w:val="36"/>
          <w:szCs w:val="36"/>
          <w:lang w:val="en-IN" w:eastAsia="en-IN"/>
        </w:rPr>
        <w:t>Features of Stock Exchange:</w:t>
      </w:r>
    </w:p>
    <w:p w14:paraId="63B1AD3A" w14:textId="77777777" w:rsidR="00F13FAD" w:rsidRPr="00902782" w:rsidRDefault="00F13FAD" w:rsidP="00F13FAD">
      <w:pPr>
        <w:numPr>
          <w:ilvl w:val="0"/>
          <w:numId w:val="12"/>
        </w:numPr>
        <w:shd w:val="clear" w:color="auto" w:fill="FFFFFF"/>
        <w:spacing w:before="100" w:beforeAutospacing="1" w:after="75" w:line="240" w:lineRule="auto"/>
        <w:rPr>
          <w:rFonts w:ascii="Arial" w:eastAsia="Times New Roman" w:hAnsi="Arial" w:cs="Arial"/>
          <w:color w:val="444444"/>
          <w:sz w:val="21"/>
          <w:szCs w:val="21"/>
          <w:lang w:val="en-IN" w:eastAsia="en-IN"/>
        </w:rPr>
      </w:pPr>
      <w:r w:rsidRPr="00902782">
        <w:rPr>
          <w:rFonts w:ascii="Arial" w:eastAsia="Times New Roman" w:hAnsi="Arial" w:cs="Arial"/>
          <w:b/>
          <w:bCs/>
          <w:color w:val="444444"/>
          <w:sz w:val="21"/>
          <w:szCs w:val="21"/>
          <w:lang w:val="en-IN" w:eastAsia="en-IN"/>
        </w:rPr>
        <w:t>A market for securities-</w:t>
      </w:r>
      <w:r w:rsidRPr="00902782">
        <w:rPr>
          <w:rFonts w:ascii="Arial" w:eastAsia="Times New Roman" w:hAnsi="Arial" w:cs="Arial"/>
          <w:color w:val="444444"/>
          <w:sz w:val="21"/>
          <w:szCs w:val="21"/>
          <w:lang w:val="en-IN" w:eastAsia="en-IN"/>
        </w:rPr>
        <w:t> It is a wholesome market where securities of government, corporate companies, semi-government companies are bought and sold.</w:t>
      </w:r>
    </w:p>
    <w:p w14:paraId="324F6A94" w14:textId="77777777" w:rsidR="00F13FAD" w:rsidRPr="00902782" w:rsidRDefault="00F13FAD" w:rsidP="00F13FAD">
      <w:pPr>
        <w:numPr>
          <w:ilvl w:val="0"/>
          <w:numId w:val="12"/>
        </w:numPr>
        <w:shd w:val="clear" w:color="auto" w:fill="FFFFFF"/>
        <w:spacing w:before="100" w:beforeAutospacing="1" w:after="75" w:line="240" w:lineRule="auto"/>
        <w:rPr>
          <w:rFonts w:ascii="Arial" w:eastAsia="Times New Roman" w:hAnsi="Arial" w:cs="Arial"/>
          <w:color w:val="444444"/>
          <w:sz w:val="21"/>
          <w:szCs w:val="21"/>
          <w:lang w:val="en-IN" w:eastAsia="en-IN"/>
        </w:rPr>
      </w:pPr>
      <w:r w:rsidRPr="00902782">
        <w:rPr>
          <w:rFonts w:ascii="Arial" w:eastAsia="Times New Roman" w:hAnsi="Arial" w:cs="Arial"/>
          <w:b/>
          <w:bCs/>
          <w:color w:val="444444"/>
          <w:sz w:val="21"/>
          <w:szCs w:val="21"/>
          <w:lang w:val="en-IN" w:eastAsia="en-IN"/>
        </w:rPr>
        <w:t>Second-hand securities- </w:t>
      </w:r>
      <w:r w:rsidRPr="00902782">
        <w:rPr>
          <w:rFonts w:ascii="Arial" w:eastAsia="Times New Roman" w:hAnsi="Arial" w:cs="Arial"/>
          <w:color w:val="444444"/>
          <w:sz w:val="21"/>
          <w:szCs w:val="21"/>
          <w:lang w:val="en-IN" w:eastAsia="en-IN"/>
        </w:rPr>
        <w:t>It associates with bonds, shares that have already been announced by the company once previously.</w:t>
      </w:r>
    </w:p>
    <w:p w14:paraId="2BB887CF" w14:textId="77777777" w:rsidR="00F13FAD" w:rsidRPr="00902782" w:rsidRDefault="00F13FAD" w:rsidP="00F13FAD">
      <w:pPr>
        <w:numPr>
          <w:ilvl w:val="0"/>
          <w:numId w:val="12"/>
        </w:numPr>
        <w:shd w:val="clear" w:color="auto" w:fill="FFFFFF"/>
        <w:spacing w:before="100" w:beforeAutospacing="1" w:after="75" w:line="240" w:lineRule="auto"/>
        <w:rPr>
          <w:rFonts w:ascii="Arial" w:eastAsia="Times New Roman" w:hAnsi="Arial" w:cs="Arial"/>
          <w:color w:val="444444"/>
          <w:sz w:val="21"/>
          <w:szCs w:val="21"/>
          <w:lang w:val="en-IN" w:eastAsia="en-IN"/>
        </w:rPr>
      </w:pPr>
      <w:r w:rsidRPr="00902782">
        <w:rPr>
          <w:rFonts w:ascii="Arial" w:eastAsia="Times New Roman" w:hAnsi="Arial" w:cs="Arial"/>
          <w:b/>
          <w:bCs/>
          <w:color w:val="444444"/>
          <w:sz w:val="21"/>
          <w:szCs w:val="21"/>
          <w:lang w:val="en-IN" w:eastAsia="en-IN"/>
        </w:rPr>
        <w:t>Regulate trade in securities-</w:t>
      </w:r>
      <w:r w:rsidRPr="00902782">
        <w:rPr>
          <w:rFonts w:ascii="Arial" w:eastAsia="Times New Roman" w:hAnsi="Arial" w:cs="Arial"/>
          <w:color w:val="444444"/>
          <w:sz w:val="21"/>
          <w:szCs w:val="21"/>
          <w:lang w:val="en-IN" w:eastAsia="en-IN"/>
        </w:rPr>
        <w:t> The exchange does not sell and buy bonds and shares on its own account. The broker or exchange members do the trade on the company’s behalf.</w:t>
      </w:r>
    </w:p>
    <w:p w14:paraId="613ED415" w14:textId="77777777" w:rsidR="00F13FAD" w:rsidRPr="00902782" w:rsidRDefault="00F13FAD" w:rsidP="00F13FAD">
      <w:pPr>
        <w:numPr>
          <w:ilvl w:val="0"/>
          <w:numId w:val="12"/>
        </w:numPr>
        <w:shd w:val="clear" w:color="auto" w:fill="FFFFFF"/>
        <w:spacing w:before="100" w:beforeAutospacing="1" w:after="75" w:line="240" w:lineRule="auto"/>
        <w:rPr>
          <w:rFonts w:ascii="Arial" w:eastAsia="Times New Roman" w:hAnsi="Arial" w:cs="Arial"/>
          <w:color w:val="444444"/>
          <w:sz w:val="21"/>
          <w:szCs w:val="21"/>
          <w:lang w:val="en-IN" w:eastAsia="en-IN"/>
        </w:rPr>
      </w:pPr>
      <w:r w:rsidRPr="00902782">
        <w:rPr>
          <w:rFonts w:ascii="Arial" w:eastAsia="Times New Roman" w:hAnsi="Arial" w:cs="Arial"/>
          <w:b/>
          <w:bCs/>
          <w:color w:val="444444"/>
          <w:sz w:val="21"/>
          <w:szCs w:val="21"/>
          <w:lang w:val="en-IN" w:eastAsia="en-IN"/>
        </w:rPr>
        <w:t>Dealings only in registered securities-</w:t>
      </w:r>
      <w:r w:rsidRPr="00902782">
        <w:rPr>
          <w:rFonts w:ascii="Arial" w:eastAsia="Times New Roman" w:hAnsi="Arial" w:cs="Arial"/>
          <w:color w:val="444444"/>
          <w:sz w:val="21"/>
          <w:szCs w:val="21"/>
          <w:lang w:val="en-IN" w:eastAsia="en-IN"/>
        </w:rPr>
        <w:t> Only listed securities recorded in the exchange office can be traded.</w:t>
      </w:r>
    </w:p>
    <w:p w14:paraId="425B1933" w14:textId="77777777" w:rsidR="00F13FAD" w:rsidRPr="00902782" w:rsidRDefault="00F13FAD" w:rsidP="00F13FAD">
      <w:pPr>
        <w:numPr>
          <w:ilvl w:val="0"/>
          <w:numId w:val="12"/>
        </w:numPr>
        <w:shd w:val="clear" w:color="auto" w:fill="FFFFFF"/>
        <w:spacing w:before="100" w:beforeAutospacing="1" w:after="75" w:line="240" w:lineRule="auto"/>
        <w:rPr>
          <w:rFonts w:ascii="Arial" w:eastAsia="Times New Roman" w:hAnsi="Arial" w:cs="Arial"/>
          <w:color w:val="444444"/>
          <w:sz w:val="21"/>
          <w:szCs w:val="21"/>
          <w:lang w:val="en-IN" w:eastAsia="en-IN"/>
        </w:rPr>
      </w:pPr>
      <w:r w:rsidRPr="00902782">
        <w:rPr>
          <w:rFonts w:ascii="Arial" w:eastAsia="Times New Roman" w:hAnsi="Arial" w:cs="Arial"/>
          <w:b/>
          <w:bCs/>
          <w:color w:val="444444"/>
          <w:sz w:val="21"/>
          <w:szCs w:val="21"/>
          <w:lang w:val="en-IN" w:eastAsia="en-IN"/>
        </w:rPr>
        <w:t>Transaction-</w:t>
      </w:r>
      <w:r w:rsidRPr="00902782">
        <w:rPr>
          <w:rFonts w:ascii="Arial" w:eastAsia="Times New Roman" w:hAnsi="Arial" w:cs="Arial"/>
          <w:color w:val="444444"/>
          <w:sz w:val="21"/>
          <w:szCs w:val="21"/>
          <w:lang w:val="en-IN" w:eastAsia="en-IN"/>
        </w:rPr>
        <w:t> Only through authorised brokers and members the transaction for securities can be made.</w:t>
      </w:r>
    </w:p>
    <w:p w14:paraId="3BE27EC3" w14:textId="77777777" w:rsidR="00F13FAD" w:rsidRPr="00902782" w:rsidRDefault="00F13FAD" w:rsidP="00F13FAD">
      <w:pPr>
        <w:numPr>
          <w:ilvl w:val="0"/>
          <w:numId w:val="12"/>
        </w:numPr>
        <w:shd w:val="clear" w:color="auto" w:fill="FFFFFF"/>
        <w:spacing w:before="100" w:beforeAutospacing="1" w:after="75" w:line="240" w:lineRule="auto"/>
        <w:rPr>
          <w:rFonts w:ascii="Arial" w:eastAsia="Times New Roman" w:hAnsi="Arial" w:cs="Arial"/>
          <w:color w:val="444444"/>
          <w:sz w:val="21"/>
          <w:szCs w:val="21"/>
          <w:lang w:val="en-IN" w:eastAsia="en-IN"/>
        </w:rPr>
      </w:pPr>
      <w:r w:rsidRPr="00902782">
        <w:rPr>
          <w:rFonts w:ascii="Arial" w:eastAsia="Times New Roman" w:hAnsi="Arial" w:cs="Arial"/>
          <w:b/>
          <w:bCs/>
          <w:color w:val="444444"/>
          <w:sz w:val="21"/>
          <w:szCs w:val="21"/>
          <w:lang w:val="en-IN" w:eastAsia="en-IN"/>
        </w:rPr>
        <w:t>Recognition- </w:t>
      </w:r>
      <w:r w:rsidRPr="00902782">
        <w:rPr>
          <w:rFonts w:ascii="Arial" w:eastAsia="Times New Roman" w:hAnsi="Arial" w:cs="Arial"/>
          <w:color w:val="444444"/>
          <w:sz w:val="21"/>
          <w:szCs w:val="21"/>
          <w:lang w:val="en-IN" w:eastAsia="en-IN"/>
        </w:rPr>
        <w:t>It requires to be recognised by the central government.</w:t>
      </w:r>
    </w:p>
    <w:p w14:paraId="7B25D262" w14:textId="77777777" w:rsidR="00F13FAD" w:rsidRPr="00902782" w:rsidRDefault="00F13FAD" w:rsidP="00F13FAD">
      <w:pPr>
        <w:numPr>
          <w:ilvl w:val="0"/>
          <w:numId w:val="12"/>
        </w:numPr>
        <w:shd w:val="clear" w:color="auto" w:fill="FFFFFF"/>
        <w:spacing w:before="100" w:beforeAutospacing="1" w:after="75" w:line="240" w:lineRule="auto"/>
        <w:rPr>
          <w:rFonts w:ascii="Arial" w:eastAsia="Times New Roman" w:hAnsi="Arial" w:cs="Arial"/>
          <w:color w:val="444444"/>
          <w:sz w:val="21"/>
          <w:szCs w:val="21"/>
          <w:lang w:val="en-IN" w:eastAsia="en-IN"/>
        </w:rPr>
      </w:pPr>
      <w:r w:rsidRPr="00902782">
        <w:rPr>
          <w:rFonts w:ascii="Arial" w:eastAsia="Times New Roman" w:hAnsi="Arial" w:cs="Arial"/>
          <w:b/>
          <w:bCs/>
          <w:color w:val="444444"/>
          <w:sz w:val="21"/>
          <w:szCs w:val="21"/>
          <w:lang w:val="en-IN" w:eastAsia="en-IN"/>
        </w:rPr>
        <w:t>Measuring device- </w:t>
      </w:r>
      <w:r w:rsidRPr="00902782">
        <w:rPr>
          <w:rFonts w:ascii="Arial" w:eastAsia="Times New Roman" w:hAnsi="Arial" w:cs="Arial"/>
          <w:color w:val="444444"/>
          <w:sz w:val="21"/>
          <w:szCs w:val="21"/>
          <w:lang w:val="en-IN" w:eastAsia="en-IN"/>
        </w:rPr>
        <w:t>It develops and indicates the growth and security of a business in the index of a stock exchange.</w:t>
      </w:r>
    </w:p>
    <w:p w14:paraId="7504E7BE" w14:textId="77777777" w:rsidR="00F13FAD" w:rsidRPr="00902782" w:rsidRDefault="00F13FAD" w:rsidP="00F13FAD">
      <w:pPr>
        <w:numPr>
          <w:ilvl w:val="0"/>
          <w:numId w:val="12"/>
        </w:numPr>
        <w:shd w:val="clear" w:color="auto" w:fill="FFFFFF"/>
        <w:spacing w:before="100" w:beforeAutospacing="1" w:after="75" w:line="240" w:lineRule="auto"/>
        <w:rPr>
          <w:rFonts w:ascii="Arial" w:eastAsia="Times New Roman" w:hAnsi="Arial" w:cs="Arial"/>
          <w:color w:val="444444"/>
          <w:sz w:val="21"/>
          <w:szCs w:val="21"/>
          <w:lang w:val="en-IN" w:eastAsia="en-IN"/>
        </w:rPr>
      </w:pPr>
      <w:r w:rsidRPr="00902782">
        <w:rPr>
          <w:rFonts w:ascii="Arial" w:eastAsia="Times New Roman" w:hAnsi="Arial" w:cs="Arial"/>
          <w:b/>
          <w:bCs/>
          <w:color w:val="444444"/>
          <w:sz w:val="21"/>
          <w:szCs w:val="21"/>
          <w:lang w:val="en-IN" w:eastAsia="en-IN"/>
        </w:rPr>
        <w:t>Operates as per rules</w:t>
      </w:r>
      <w:r w:rsidRPr="00902782">
        <w:rPr>
          <w:rFonts w:ascii="Arial" w:eastAsia="Times New Roman" w:hAnsi="Arial" w:cs="Arial"/>
          <w:color w:val="444444"/>
          <w:sz w:val="21"/>
          <w:szCs w:val="21"/>
          <w:lang w:val="en-IN" w:eastAsia="en-IN"/>
        </w:rPr>
        <w:t>– All the security dealings at the stock exchange are controlled by exchange rules and regulations and SEBI guidelines.</w:t>
      </w:r>
    </w:p>
    <w:p w14:paraId="583B64D3" w14:textId="77777777" w:rsidR="00F13FAD" w:rsidRDefault="00F13FAD" w:rsidP="00F13FAD">
      <w:pPr>
        <w:pStyle w:val="NormalWeb"/>
        <w:shd w:val="clear" w:color="auto" w:fill="FFFFFF"/>
        <w:spacing w:before="0" w:beforeAutospacing="0" w:after="240" w:afterAutospacing="0" w:line="360" w:lineRule="atLeast"/>
        <w:rPr>
          <w:rFonts w:ascii="Arial" w:hAnsi="Arial" w:cs="Arial"/>
          <w:color w:val="444444"/>
        </w:rPr>
      </w:pPr>
    </w:p>
    <w:p w14:paraId="7997D5C7" w14:textId="77777777" w:rsidR="00F13FAD" w:rsidRPr="00902782" w:rsidRDefault="00F13FAD" w:rsidP="00F13FAD">
      <w:pPr>
        <w:pStyle w:val="NormalWeb"/>
        <w:shd w:val="clear" w:color="auto" w:fill="FFFFFF"/>
        <w:spacing w:before="0" w:beforeAutospacing="0" w:after="240" w:afterAutospacing="0" w:line="360" w:lineRule="atLeast"/>
        <w:rPr>
          <w:rFonts w:ascii="Arial" w:hAnsi="Arial" w:cs="Arial"/>
          <w:b/>
          <w:bCs/>
          <w:color w:val="444444"/>
          <w:sz w:val="36"/>
          <w:szCs w:val="36"/>
        </w:rPr>
      </w:pPr>
      <w:r w:rsidRPr="00902782">
        <w:rPr>
          <w:rFonts w:ascii="Arial" w:hAnsi="Arial" w:cs="Arial"/>
          <w:b/>
          <w:bCs/>
          <w:color w:val="444444"/>
          <w:sz w:val="36"/>
          <w:szCs w:val="36"/>
        </w:rPr>
        <w:t>Functions of Stock Exchange</w:t>
      </w:r>
    </w:p>
    <w:p w14:paraId="50F13F68" w14:textId="77777777" w:rsidR="00F13FAD" w:rsidRPr="00902782" w:rsidRDefault="00F13FAD" w:rsidP="00F13FAD">
      <w:pPr>
        <w:shd w:val="clear" w:color="auto" w:fill="FFFFFF"/>
        <w:spacing w:after="240" w:line="360" w:lineRule="atLeast"/>
        <w:rPr>
          <w:rFonts w:ascii="Arial" w:eastAsia="Times New Roman" w:hAnsi="Arial" w:cs="Arial"/>
          <w:color w:val="444444"/>
          <w:sz w:val="24"/>
          <w:szCs w:val="24"/>
          <w:lang w:val="en-IN" w:eastAsia="en-IN"/>
        </w:rPr>
      </w:pPr>
      <w:r w:rsidRPr="00902782">
        <w:rPr>
          <w:rFonts w:ascii="Arial" w:eastAsia="Times New Roman" w:hAnsi="Arial" w:cs="Arial"/>
          <w:color w:val="444444"/>
          <w:sz w:val="24"/>
          <w:szCs w:val="24"/>
          <w:lang w:val="en-IN" w:eastAsia="en-IN"/>
        </w:rPr>
        <w:t>Following are some of the most important functions that are performed by  stock exchange:</w:t>
      </w:r>
    </w:p>
    <w:p w14:paraId="521A6C65" w14:textId="77777777" w:rsidR="00F13FAD" w:rsidRPr="00902782" w:rsidRDefault="00F13FAD" w:rsidP="00F13FAD">
      <w:pPr>
        <w:numPr>
          <w:ilvl w:val="0"/>
          <w:numId w:val="11"/>
        </w:numPr>
        <w:shd w:val="clear" w:color="auto" w:fill="FFFFFF"/>
        <w:spacing w:before="100" w:beforeAutospacing="1" w:after="75" w:line="240" w:lineRule="auto"/>
        <w:rPr>
          <w:rFonts w:ascii="Arial" w:eastAsia="Times New Roman" w:hAnsi="Arial" w:cs="Arial"/>
          <w:color w:val="444444"/>
          <w:sz w:val="21"/>
          <w:szCs w:val="21"/>
          <w:lang w:val="en-IN" w:eastAsia="en-IN"/>
        </w:rPr>
      </w:pPr>
      <w:r w:rsidRPr="00902782">
        <w:rPr>
          <w:rFonts w:ascii="Arial" w:eastAsia="Times New Roman" w:hAnsi="Arial" w:cs="Arial"/>
          <w:b/>
          <w:bCs/>
          <w:color w:val="444444"/>
          <w:sz w:val="21"/>
          <w:szCs w:val="21"/>
          <w:lang w:val="en-IN" w:eastAsia="en-IN"/>
        </w:rPr>
        <w:t>Role of an Economic Barometer:</w:t>
      </w:r>
      <w:r w:rsidRPr="00902782">
        <w:rPr>
          <w:rFonts w:ascii="Arial" w:eastAsia="Times New Roman" w:hAnsi="Arial" w:cs="Arial"/>
          <w:color w:val="444444"/>
          <w:sz w:val="21"/>
          <w:szCs w:val="21"/>
          <w:lang w:val="en-IN" w:eastAsia="en-IN"/>
        </w:rPr>
        <w:t>  Stock exchange serves as an economic barometer that is indicative of the state of the economy. It records all the major and minor changes in the share prices. It is rightly said to be the pulse of the economy, which reflects the state of the economy.</w:t>
      </w:r>
    </w:p>
    <w:p w14:paraId="5ABD42F2" w14:textId="77777777" w:rsidR="00F13FAD" w:rsidRPr="00902782" w:rsidRDefault="00F13FAD" w:rsidP="00F13FAD">
      <w:pPr>
        <w:numPr>
          <w:ilvl w:val="0"/>
          <w:numId w:val="11"/>
        </w:numPr>
        <w:shd w:val="clear" w:color="auto" w:fill="FFFFFF"/>
        <w:spacing w:before="100" w:beforeAutospacing="1" w:after="75" w:line="240" w:lineRule="auto"/>
        <w:rPr>
          <w:rFonts w:ascii="Arial" w:eastAsia="Times New Roman" w:hAnsi="Arial" w:cs="Arial"/>
          <w:color w:val="444444"/>
          <w:sz w:val="21"/>
          <w:szCs w:val="21"/>
          <w:lang w:val="en-IN" w:eastAsia="en-IN"/>
        </w:rPr>
      </w:pPr>
      <w:r w:rsidRPr="00902782">
        <w:rPr>
          <w:rFonts w:ascii="Arial" w:eastAsia="Times New Roman" w:hAnsi="Arial" w:cs="Arial"/>
          <w:b/>
          <w:bCs/>
          <w:color w:val="444444"/>
          <w:sz w:val="21"/>
          <w:szCs w:val="21"/>
          <w:lang w:val="en-IN" w:eastAsia="en-IN"/>
        </w:rPr>
        <w:t>Valuation of Securities:</w:t>
      </w:r>
      <w:r w:rsidRPr="00902782">
        <w:rPr>
          <w:rFonts w:ascii="Arial" w:eastAsia="Times New Roman" w:hAnsi="Arial" w:cs="Arial"/>
          <w:color w:val="444444"/>
          <w:sz w:val="21"/>
          <w:szCs w:val="21"/>
          <w:lang w:val="en-IN" w:eastAsia="en-IN"/>
        </w:rPr>
        <w:t> Stock market helps in the valuation of securities based on the factors of supply and demand. The securities offered by companies that are profitable and growth-oriented tend to be valued higher. Valuation of securities helps creditors, investors and government in performing their respective functions.</w:t>
      </w:r>
    </w:p>
    <w:p w14:paraId="29BE191A" w14:textId="77777777" w:rsidR="00F13FAD" w:rsidRPr="00902782" w:rsidRDefault="00F13FAD" w:rsidP="00F13FAD">
      <w:pPr>
        <w:numPr>
          <w:ilvl w:val="0"/>
          <w:numId w:val="11"/>
        </w:numPr>
        <w:shd w:val="clear" w:color="auto" w:fill="FFFFFF"/>
        <w:spacing w:before="100" w:beforeAutospacing="1" w:after="75" w:line="240" w:lineRule="auto"/>
        <w:rPr>
          <w:rFonts w:ascii="Arial" w:eastAsia="Times New Roman" w:hAnsi="Arial" w:cs="Arial"/>
          <w:color w:val="444444"/>
          <w:sz w:val="21"/>
          <w:szCs w:val="21"/>
          <w:lang w:val="en-IN" w:eastAsia="en-IN"/>
        </w:rPr>
      </w:pPr>
      <w:r w:rsidRPr="00902782">
        <w:rPr>
          <w:rFonts w:ascii="Arial" w:eastAsia="Times New Roman" w:hAnsi="Arial" w:cs="Arial"/>
          <w:b/>
          <w:bCs/>
          <w:color w:val="444444"/>
          <w:sz w:val="21"/>
          <w:szCs w:val="21"/>
          <w:lang w:val="en-IN" w:eastAsia="en-IN"/>
        </w:rPr>
        <w:t>Transactional Safety:</w:t>
      </w:r>
      <w:r w:rsidRPr="00902782">
        <w:rPr>
          <w:rFonts w:ascii="Arial" w:eastAsia="Times New Roman" w:hAnsi="Arial" w:cs="Arial"/>
          <w:color w:val="444444"/>
          <w:sz w:val="21"/>
          <w:szCs w:val="21"/>
          <w:lang w:val="en-IN" w:eastAsia="en-IN"/>
        </w:rPr>
        <w:t> Transactional safety is ensured as the securities that are traded in the stock exchange are listed, and the listing of securities is done after verifying the company’s position. All companies listed have to adhere to the rules and regulations as laid out by the governing body.</w:t>
      </w:r>
    </w:p>
    <w:p w14:paraId="7CD5D674" w14:textId="77777777" w:rsidR="00F13FAD" w:rsidRPr="00902782" w:rsidRDefault="00F13FAD" w:rsidP="00F13FAD">
      <w:pPr>
        <w:numPr>
          <w:ilvl w:val="0"/>
          <w:numId w:val="11"/>
        </w:numPr>
        <w:shd w:val="clear" w:color="auto" w:fill="FFFFFF"/>
        <w:spacing w:before="100" w:beforeAutospacing="1" w:after="75" w:line="240" w:lineRule="auto"/>
        <w:rPr>
          <w:rFonts w:ascii="Arial" w:eastAsia="Times New Roman" w:hAnsi="Arial" w:cs="Arial"/>
          <w:color w:val="444444"/>
          <w:sz w:val="21"/>
          <w:szCs w:val="21"/>
          <w:lang w:val="en-IN" w:eastAsia="en-IN"/>
        </w:rPr>
      </w:pPr>
      <w:r w:rsidRPr="00902782">
        <w:rPr>
          <w:rFonts w:ascii="Arial" w:eastAsia="Times New Roman" w:hAnsi="Arial" w:cs="Arial"/>
          <w:b/>
          <w:bCs/>
          <w:color w:val="444444"/>
          <w:sz w:val="21"/>
          <w:szCs w:val="21"/>
          <w:lang w:val="en-IN" w:eastAsia="en-IN"/>
        </w:rPr>
        <w:t>Contributor to Economic Growth:</w:t>
      </w:r>
      <w:r w:rsidRPr="00902782">
        <w:rPr>
          <w:rFonts w:ascii="Arial" w:eastAsia="Times New Roman" w:hAnsi="Arial" w:cs="Arial"/>
          <w:color w:val="444444"/>
          <w:sz w:val="21"/>
          <w:szCs w:val="21"/>
          <w:lang w:val="en-IN" w:eastAsia="en-IN"/>
        </w:rPr>
        <w:t> Stock exchange offers a platform for trading of securities of the various companies. This process of trading involves continuous disinvestment and reinvestment, which offers opportunities for capital formation and subsequently, growth of the economy.</w:t>
      </w:r>
    </w:p>
    <w:p w14:paraId="32912271" w14:textId="77777777" w:rsidR="00F13FAD" w:rsidRPr="00902782" w:rsidRDefault="00F13FAD" w:rsidP="00F13FAD">
      <w:pPr>
        <w:numPr>
          <w:ilvl w:val="0"/>
          <w:numId w:val="11"/>
        </w:numPr>
        <w:shd w:val="clear" w:color="auto" w:fill="FFFFFF"/>
        <w:spacing w:before="100" w:beforeAutospacing="1" w:after="75" w:line="240" w:lineRule="auto"/>
        <w:rPr>
          <w:rFonts w:ascii="Arial" w:eastAsia="Times New Roman" w:hAnsi="Arial" w:cs="Arial"/>
          <w:color w:val="444444"/>
          <w:sz w:val="21"/>
          <w:szCs w:val="21"/>
          <w:lang w:val="en-IN" w:eastAsia="en-IN"/>
        </w:rPr>
      </w:pPr>
      <w:r w:rsidRPr="00902782">
        <w:rPr>
          <w:rFonts w:ascii="Arial" w:eastAsia="Times New Roman" w:hAnsi="Arial" w:cs="Arial"/>
          <w:b/>
          <w:bCs/>
          <w:color w:val="444444"/>
          <w:sz w:val="21"/>
          <w:szCs w:val="21"/>
          <w:lang w:val="en-IN" w:eastAsia="en-IN"/>
        </w:rPr>
        <w:t>Making the public aware of equity investment:</w:t>
      </w:r>
      <w:r w:rsidRPr="00902782">
        <w:rPr>
          <w:rFonts w:ascii="Arial" w:eastAsia="Times New Roman" w:hAnsi="Arial" w:cs="Arial"/>
          <w:color w:val="444444"/>
          <w:sz w:val="21"/>
          <w:szCs w:val="21"/>
          <w:lang w:val="en-IN" w:eastAsia="en-IN"/>
        </w:rPr>
        <w:t> Stock exchange helps in providing information about investing in equity markets and by rolling out new issues to encourage people to invest in securities. </w:t>
      </w:r>
    </w:p>
    <w:p w14:paraId="04E31E19" w14:textId="77777777" w:rsidR="00F13FAD" w:rsidRPr="00902782" w:rsidRDefault="00F13FAD" w:rsidP="00F13FAD">
      <w:pPr>
        <w:numPr>
          <w:ilvl w:val="0"/>
          <w:numId w:val="11"/>
        </w:numPr>
        <w:shd w:val="clear" w:color="auto" w:fill="FFFFFF"/>
        <w:spacing w:before="100" w:beforeAutospacing="1" w:after="75" w:line="240" w:lineRule="auto"/>
        <w:rPr>
          <w:rFonts w:ascii="Arial" w:eastAsia="Times New Roman" w:hAnsi="Arial" w:cs="Arial"/>
          <w:color w:val="444444"/>
          <w:sz w:val="21"/>
          <w:szCs w:val="21"/>
          <w:lang w:val="en-IN" w:eastAsia="en-IN"/>
        </w:rPr>
      </w:pPr>
      <w:r w:rsidRPr="00902782">
        <w:rPr>
          <w:rFonts w:ascii="Arial" w:eastAsia="Times New Roman" w:hAnsi="Arial" w:cs="Arial"/>
          <w:b/>
          <w:bCs/>
          <w:color w:val="444444"/>
          <w:sz w:val="21"/>
          <w:szCs w:val="21"/>
          <w:lang w:val="en-IN" w:eastAsia="en-IN"/>
        </w:rPr>
        <w:t>Offers scope for speculation:</w:t>
      </w:r>
      <w:r w:rsidRPr="00902782">
        <w:rPr>
          <w:rFonts w:ascii="Arial" w:eastAsia="Times New Roman" w:hAnsi="Arial" w:cs="Arial"/>
          <w:color w:val="444444"/>
          <w:sz w:val="21"/>
          <w:szCs w:val="21"/>
          <w:lang w:val="en-IN" w:eastAsia="en-IN"/>
        </w:rPr>
        <w:t> By permitting healthy speculation of the traded securities, the stock exchange ensures demand and supply of securities and liquidity.</w:t>
      </w:r>
    </w:p>
    <w:p w14:paraId="18065EC8" w14:textId="77777777" w:rsidR="00F13FAD" w:rsidRPr="00902782" w:rsidRDefault="00F13FAD" w:rsidP="00F13FAD">
      <w:pPr>
        <w:numPr>
          <w:ilvl w:val="0"/>
          <w:numId w:val="11"/>
        </w:numPr>
        <w:shd w:val="clear" w:color="auto" w:fill="FFFFFF"/>
        <w:spacing w:before="100" w:beforeAutospacing="1" w:after="75" w:line="240" w:lineRule="auto"/>
        <w:rPr>
          <w:rFonts w:ascii="Arial" w:eastAsia="Times New Roman" w:hAnsi="Arial" w:cs="Arial"/>
          <w:color w:val="444444"/>
          <w:sz w:val="21"/>
          <w:szCs w:val="21"/>
          <w:lang w:val="en-IN" w:eastAsia="en-IN"/>
        </w:rPr>
      </w:pPr>
      <w:r w:rsidRPr="00902782">
        <w:rPr>
          <w:rFonts w:ascii="Arial" w:eastAsia="Times New Roman" w:hAnsi="Arial" w:cs="Arial"/>
          <w:b/>
          <w:bCs/>
          <w:color w:val="444444"/>
          <w:sz w:val="21"/>
          <w:szCs w:val="21"/>
          <w:lang w:val="en-IN" w:eastAsia="en-IN"/>
        </w:rPr>
        <w:t>Facilitates liquidity:</w:t>
      </w:r>
      <w:r w:rsidRPr="00902782">
        <w:rPr>
          <w:rFonts w:ascii="Arial" w:eastAsia="Times New Roman" w:hAnsi="Arial" w:cs="Arial"/>
          <w:color w:val="444444"/>
          <w:sz w:val="21"/>
          <w:szCs w:val="21"/>
          <w:lang w:val="en-IN" w:eastAsia="en-IN"/>
        </w:rPr>
        <w:t> The most important role of the stock exchange is in ensuring a ready platform for the sale and purchase of securities. This gives investors the confidence that the existing investments can be converted into cash, or in other words, stock exchange offers liquidity in terms of investment.</w:t>
      </w:r>
    </w:p>
    <w:p w14:paraId="476ECCE3" w14:textId="77777777" w:rsidR="00F13FAD" w:rsidRPr="00902782" w:rsidRDefault="00F13FAD" w:rsidP="00F13FAD">
      <w:pPr>
        <w:numPr>
          <w:ilvl w:val="0"/>
          <w:numId w:val="11"/>
        </w:numPr>
        <w:shd w:val="clear" w:color="auto" w:fill="FFFFFF"/>
        <w:spacing w:before="100" w:beforeAutospacing="1" w:after="75" w:line="240" w:lineRule="auto"/>
        <w:rPr>
          <w:rFonts w:ascii="Arial" w:eastAsia="Times New Roman" w:hAnsi="Arial" w:cs="Arial"/>
          <w:color w:val="444444"/>
          <w:sz w:val="21"/>
          <w:szCs w:val="21"/>
          <w:lang w:val="en-IN" w:eastAsia="en-IN"/>
        </w:rPr>
      </w:pPr>
      <w:r w:rsidRPr="00902782">
        <w:rPr>
          <w:rFonts w:ascii="Arial" w:eastAsia="Times New Roman" w:hAnsi="Arial" w:cs="Arial"/>
          <w:b/>
          <w:bCs/>
          <w:color w:val="444444"/>
          <w:sz w:val="21"/>
          <w:szCs w:val="21"/>
          <w:lang w:val="en-IN" w:eastAsia="en-IN"/>
        </w:rPr>
        <w:t>Better Capital Allocation:</w:t>
      </w:r>
      <w:r w:rsidRPr="00902782">
        <w:rPr>
          <w:rFonts w:ascii="Arial" w:eastAsia="Times New Roman" w:hAnsi="Arial" w:cs="Arial"/>
          <w:color w:val="444444"/>
          <w:sz w:val="21"/>
          <w:szCs w:val="21"/>
          <w:lang w:val="en-IN" w:eastAsia="en-IN"/>
        </w:rPr>
        <w:t> Profit-making companies will have their shares traded actively, and so such companies are able to raise fresh capital from the equity market. Stock market helps in better allocation of capital for the investors so that maximum profit can be earned.</w:t>
      </w:r>
    </w:p>
    <w:p w14:paraId="00B6FD15" w14:textId="77777777" w:rsidR="00F13FAD" w:rsidRPr="00902782" w:rsidRDefault="00F13FAD" w:rsidP="00F13FAD">
      <w:pPr>
        <w:numPr>
          <w:ilvl w:val="0"/>
          <w:numId w:val="11"/>
        </w:numPr>
        <w:shd w:val="clear" w:color="auto" w:fill="FFFFFF"/>
        <w:spacing w:before="100" w:beforeAutospacing="1" w:after="75" w:line="240" w:lineRule="auto"/>
        <w:rPr>
          <w:rFonts w:ascii="Arial" w:eastAsia="Times New Roman" w:hAnsi="Arial" w:cs="Arial"/>
          <w:color w:val="444444"/>
          <w:sz w:val="21"/>
          <w:szCs w:val="21"/>
          <w:lang w:val="en-IN" w:eastAsia="en-IN"/>
        </w:rPr>
      </w:pPr>
      <w:r w:rsidRPr="00902782">
        <w:rPr>
          <w:rFonts w:ascii="Arial" w:eastAsia="Times New Roman" w:hAnsi="Arial" w:cs="Arial"/>
          <w:b/>
          <w:bCs/>
          <w:color w:val="444444"/>
          <w:sz w:val="21"/>
          <w:szCs w:val="21"/>
          <w:lang w:val="en-IN" w:eastAsia="en-IN"/>
        </w:rPr>
        <w:t>Encourages investment and savings:</w:t>
      </w:r>
      <w:r w:rsidRPr="00902782">
        <w:rPr>
          <w:rFonts w:ascii="Arial" w:eastAsia="Times New Roman" w:hAnsi="Arial" w:cs="Arial"/>
          <w:color w:val="444444"/>
          <w:sz w:val="21"/>
          <w:szCs w:val="21"/>
          <w:lang w:val="en-IN" w:eastAsia="en-IN"/>
        </w:rPr>
        <w:t> Stock market serves as an important source of investment in various securities which offer greater returns. Investing in the stock market makes for a better investment option than gold and silver.</w:t>
      </w:r>
    </w:p>
    <w:p w14:paraId="0717AF3A" w14:textId="77777777" w:rsidR="00F13FAD" w:rsidRDefault="00F13FAD" w:rsidP="00F13FAD">
      <w:pPr>
        <w:pStyle w:val="NormalWeb"/>
        <w:shd w:val="clear" w:color="auto" w:fill="FFFFFF"/>
        <w:spacing w:before="0" w:beforeAutospacing="0" w:after="240" w:afterAutospacing="0" w:line="0" w:lineRule="atLeast"/>
        <w:rPr>
          <w:rFonts w:ascii="Arial" w:hAnsi="Arial" w:cs="Arial"/>
          <w:color w:val="444444"/>
        </w:rPr>
      </w:pPr>
    </w:p>
    <w:p w14:paraId="32A9F813" w14:textId="77777777" w:rsidR="00F13FAD" w:rsidRDefault="00F13FAD" w:rsidP="00F13FAD">
      <w:pPr>
        <w:spacing w:line="0" w:lineRule="atLeast"/>
      </w:pPr>
    </w:p>
    <w:p w14:paraId="3D9EB221" w14:textId="77777777" w:rsidR="00F13FAD" w:rsidRPr="00F92AFD" w:rsidRDefault="00F13FAD" w:rsidP="00F13FAD">
      <w:pPr>
        <w:spacing w:line="0" w:lineRule="atLeast"/>
        <w:rPr>
          <w:rFonts w:ascii="Times New Roman" w:hAnsi="Times New Roman" w:cs="Times New Roman"/>
          <w:b/>
          <w:sz w:val="28"/>
          <w:szCs w:val="28"/>
          <w:u w:val="single"/>
        </w:rPr>
      </w:pPr>
      <w:r w:rsidRPr="00F92AFD">
        <w:rPr>
          <w:rFonts w:ascii="Times New Roman" w:hAnsi="Times New Roman" w:cs="Times New Roman"/>
          <w:b/>
          <w:sz w:val="28"/>
          <w:szCs w:val="28"/>
          <w:u w:val="single"/>
        </w:rPr>
        <w:t>Evolution and Growth of Stock Exchanges in India</w:t>
      </w:r>
    </w:p>
    <w:p w14:paraId="0C24672F" w14:textId="77777777" w:rsidR="00F13FAD" w:rsidRDefault="00F13FAD" w:rsidP="00F13FAD">
      <w:pPr>
        <w:pStyle w:val="NormalWeb"/>
        <w:numPr>
          <w:ilvl w:val="0"/>
          <w:numId w:val="13"/>
        </w:numPr>
        <w:shd w:val="clear" w:color="auto" w:fill="FFFFFF"/>
        <w:spacing w:before="0" w:beforeAutospacing="0" w:line="0" w:lineRule="atLeast"/>
        <w:rPr>
          <w:rFonts w:ascii="Arial" w:hAnsi="Arial" w:cs="Arial"/>
          <w:color w:val="212529"/>
        </w:rPr>
      </w:pPr>
      <w:r>
        <w:rPr>
          <w:rFonts w:ascii="Arial" w:hAnsi="Arial" w:cs="Arial"/>
          <w:color w:val="212529"/>
        </w:rPr>
        <w:t>The Indian stock market traces its history back to the late 18th century when the trading floor was under the shade of a sprawling banyan tree opposite the Town Hall in Mumbai. A few people would meet under this tree to informally trade in cotton.</w:t>
      </w:r>
    </w:p>
    <w:p w14:paraId="6B9720EE" w14:textId="77777777" w:rsidR="00F13FAD" w:rsidRDefault="00F13FAD" w:rsidP="00F13FAD">
      <w:pPr>
        <w:pStyle w:val="NormalWeb"/>
        <w:numPr>
          <w:ilvl w:val="0"/>
          <w:numId w:val="13"/>
        </w:numPr>
        <w:shd w:val="clear" w:color="auto" w:fill="FFFFFF"/>
        <w:spacing w:before="0" w:beforeAutospacing="0" w:line="0" w:lineRule="atLeast"/>
        <w:rPr>
          <w:rFonts w:ascii="Arial" w:hAnsi="Arial" w:cs="Arial"/>
          <w:color w:val="212529"/>
        </w:rPr>
      </w:pPr>
      <w:r>
        <w:rPr>
          <w:rFonts w:ascii="Arial" w:hAnsi="Arial" w:cs="Arial"/>
          <w:color w:val="212529"/>
        </w:rPr>
        <w:t> This was because Mumbai was a busy trading port, and essential commodities were traded here often.</w:t>
      </w:r>
    </w:p>
    <w:p w14:paraId="1FD746C5" w14:textId="77777777" w:rsidR="00F13FAD" w:rsidRDefault="00F13FAD" w:rsidP="00F13FAD">
      <w:pPr>
        <w:pStyle w:val="NormalWeb"/>
        <w:numPr>
          <w:ilvl w:val="0"/>
          <w:numId w:val="13"/>
        </w:numPr>
        <w:shd w:val="clear" w:color="auto" w:fill="FFFFFF"/>
        <w:spacing w:before="0" w:beforeAutospacing="0" w:line="0" w:lineRule="atLeast"/>
        <w:rPr>
          <w:rFonts w:ascii="Arial" w:hAnsi="Arial" w:cs="Arial"/>
          <w:color w:val="212529"/>
        </w:rPr>
      </w:pPr>
      <w:r>
        <w:rPr>
          <w:rFonts w:ascii="Arial" w:hAnsi="Arial" w:cs="Arial"/>
          <w:color w:val="212529"/>
        </w:rPr>
        <w:t>The Companies Act was introduced in 1850, following which investors started showing an interest in corporate securities. The concept of limited liability also put an appearance around this time.</w:t>
      </w:r>
    </w:p>
    <w:p w14:paraId="20C2B43B" w14:textId="77777777" w:rsidR="00F13FAD" w:rsidRDefault="00F13FAD" w:rsidP="00F13FAD">
      <w:pPr>
        <w:pStyle w:val="NormalWeb"/>
        <w:numPr>
          <w:ilvl w:val="0"/>
          <w:numId w:val="13"/>
        </w:numPr>
        <w:shd w:val="clear" w:color="auto" w:fill="FFFFFF"/>
        <w:spacing w:before="0" w:beforeAutospacing="0" w:line="0" w:lineRule="atLeast"/>
        <w:rPr>
          <w:rFonts w:ascii="Arial" w:hAnsi="Arial" w:cs="Arial"/>
          <w:color w:val="212529"/>
        </w:rPr>
      </w:pPr>
      <w:r>
        <w:rPr>
          <w:rFonts w:ascii="Arial" w:hAnsi="Arial" w:cs="Arial"/>
          <w:color w:val="212529"/>
        </w:rPr>
        <w:t>By 1875, an organization is known as ‘The Native Share and Stock Brokers Association’ came into being. This was the predecessor of the BSE.</w:t>
      </w:r>
    </w:p>
    <w:p w14:paraId="68890BE8" w14:textId="77777777" w:rsidR="00F13FAD" w:rsidRDefault="00F13FAD" w:rsidP="00F13FAD">
      <w:pPr>
        <w:pStyle w:val="NormalWeb"/>
        <w:numPr>
          <w:ilvl w:val="0"/>
          <w:numId w:val="13"/>
        </w:numPr>
        <w:shd w:val="clear" w:color="auto" w:fill="FFFFFF"/>
        <w:spacing w:before="0" w:beforeAutospacing="0" w:line="0" w:lineRule="atLeast"/>
        <w:rPr>
          <w:rFonts w:ascii="Arial" w:hAnsi="Arial" w:cs="Arial"/>
          <w:color w:val="212529"/>
        </w:rPr>
      </w:pPr>
      <w:r>
        <w:rPr>
          <w:rFonts w:ascii="Arial" w:hAnsi="Arial" w:cs="Arial"/>
          <w:color w:val="212529"/>
        </w:rPr>
        <w:t>In 1894, the Ahmedabad Stock Exchange came primarily to enable dealing in the shares of textile mills in the city.</w:t>
      </w:r>
    </w:p>
    <w:p w14:paraId="6C9AA044" w14:textId="77777777" w:rsidR="00F13FAD" w:rsidRDefault="00F13FAD" w:rsidP="00F13FAD">
      <w:pPr>
        <w:pStyle w:val="NormalWeb"/>
        <w:numPr>
          <w:ilvl w:val="0"/>
          <w:numId w:val="13"/>
        </w:numPr>
        <w:shd w:val="clear" w:color="auto" w:fill="FFFFFF"/>
        <w:spacing w:before="0" w:beforeAutospacing="0" w:line="0" w:lineRule="atLeast"/>
        <w:rPr>
          <w:rFonts w:ascii="Arial" w:hAnsi="Arial" w:cs="Arial"/>
          <w:color w:val="212529"/>
        </w:rPr>
      </w:pPr>
      <w:r>
        <w:rPr>
          <w:rFonts w:ascii="Arial" w:hAnsi="Arial" w:cs="Arial"/>
          <w:color w:val="212529"/>
        </w:rPr>
        <w:t>The Calcutta Stock Exchange was formed in 1908 to facilitate a market for shares of plantations and jute mills.</w:t>
      </w:r>
    </w:p>
    <w:p w14:paraId="03033A82" w14:textId="77777777" w:rsidR="00F13FAD" w:rsidRDefault="00F13FAD" w:rsidP="00F13FAD">
      <w:pPr>
        <w:pStyle w:val="NormalWeb"/>
        <w:numPr>
          <w:ilvl w:val="0"/>
          <w:numId w:val="13"/>
        </w:numPr>
        <w:shd w:val="clear" w:color="auto" w:fill="FFFFFF"/>
        <w:spacing w:before="0" w:beforeAutospacing="0" w:line="0" w:lineRule="atLeast"/>
        <w:rPr>
          <w:rFonts w:ascii="Arial" w:hAnsi="Arial" w:cs="Arial"/>
          <w:color w:val="212529"/>
        </w:rPr>
      </w:pPr>
      <w:r>
        <w:rPr>
          <w:rFonts w:ascii="Arial" w:hAnsi="Arial" w:cs="Arial"/>
          <w:color w:val="212529"/>
        </w:rPr>
        <w:t>It was in 1920 that the Madras Stock Exchange took shape.</w:t>
      </w:r>
    </w:p>
    <w:p w14:paraId="2DE82C9F" w14:textId="77777777" w:rsidR="00F13FAD" w:rsidRDefault="00F13FAD" w:rsidP="00F13FAD">
      <w:pPr>
        <w:pStyle w:val="NormalWeb"/>
        <w:numPr>
          <w:ilvl w:val="0"/>
          <w:numId w:val="13"/>
        </w:numPr>
        <w:shd w:val="clear" w:color="auto" w:fill="FFFFFF"/>
        <w:spacing w:before="0" w:beforeAutospacing="0" w:line="0" w:lineRule="atLeast"/>
        <w:rPr>
          <w:rFonts w:ascii="Arial" w:hAnsi="Arial" w:cs="Arial"/>
          <w:color w:val="212529"/>
        </w:rPr>
      </w:pPr>
      <w:r>
        <w:rPr>
          <w:rFonts w:ascii="Arial" w:hAnsi="Arial" w:cs="Arial"/>
          <w:color w:val="212529"/>
        </w:rPr>
        <w:t>In 1957, the BSE was the first stock exchange to be recognized by the Government of India under the Securities Contracts Regulation Act.</w:t>
      </w:r>
    </w:p>
    <w:p w14:paraId="3F04ADB9" w14:textId="77777777" w:rsidR="00F13FAD" w:rsidRDefault="00F13FAD" w:rsidP="00F13FAD">
      <w:pPr>
        <w:pStyle w:val="NormalWeb"/>
        <w:numPr>
          <w:ilvl w:val="0"/>
          <w:numId w:val="13"/>
        </w:numPr>
        <w:shd w:val="clear" w:color="auto" w:fill="FFFFFF"/>
        <w:spacing w:before="0" w:beforeAutospacing="0" w:line="0" w:lineRule="atLeast"/>
        <w:rPr>
          <w:rFonts w:ascii="Arial" w:hAnsi="Arial" w:cs="Arial"/>
          <w:color w:val="212529"/>
        </w:rPr>
      </w:pPr>
      <w:r>
        <w:rPr>
          <w:rFonts w:ascii="Arial" w:hAnsi="Arial" w:cs="Arial"/>
          <w:color w:val="212529"/>
        </w:rPr>
        <w:t>The SENSEX was launched in 1986, followed by the BSE National Index in 1989.</w:t>
      </w:r>
    </w:p>
    <w:p w14:paraId="31897A82" w14:textId="77777777" w:rsidR="00F13FAD" w:rsidRDefault="00F13FAD" w:rsidP="00F13FAD">
      <w:pPr>
        <w:pStyle w:val="NormalWeb"/>
        <w:numPr>
          <w:ilvl w:val="0"/>
          <w:numId w:val="13"/>
        </w:numPr>
        <w:shd w:val="clear" w:color="auto" w:fill="FFFFFF"/>
        <w:spacing w:before="0" w:beforeAutospacing="0" w:line="0" w:lineRule="atLeast"/>
        <w:rPr>
          <w:rFonts w:ascii="Arial" w:hAnsi="Arial" w:cs="Arial"/>
          <w:color w:val="212529"/>
        </w:rPr>
      </w:pPr>
      <w:r>
        <w:rPr>
          <w:rFonts w:ascii="Arial" w:hAnsi="Arial" w:cs="Arial"/>
          <w:color w:val="212529"/>
        </w:rPr>
        <w:t>The Securities and Exchange Board of India (SEBI) was constituted in 1988 to monitor and regulate the securities industry and stock exchanges. In 1992 it became an autonomous body with completely independent powers.</w:t>
      </w:r>
    </w:p>
    <w:p w14:paraId="022DA113" w14:textId="77777777" w:rsidR="00F13FAD" w:rsidRDefault="00F13FAD" w:rsidP="00F13FAD">
      <w:pPr>
        <w:pStyle w:val="NormalWeb"/>
        <w:numPr>
          <w:ilvl w:val="0"/>
          <w:numId w:val="13"/>
        </w:numPr>
        <w:shd w:val="clear" w:color="auto" w:fill="FFFFFF"/>
        <w:spacing w:before="0" w:beforeAutospacing="0" w:line="0" w:lineRule="atLeast"/>
        <w:rPr>
          <w:rFonts w:ascii="Arial" w:hAnsi="Arial" w:cs="Arial"/>
          <w:color w:val="212529"/>
        </w:rPr>
      </w:pPr>
      <w:r>
        <w:rPr>
          <w:rFonts w:ascii="Arial" w:hAnsi="Arial" w:cs="Arial"/>
          <w:color w:val="212529"/>
        </w:rPr>
        <w:t>In 1992, the NSE was formed as the first demutualized electronic exchange to ensure market transparency.</w:t>
      </w:r>
    </w:p>
    <w:p w14:paraId="2B891332" w14:textId="77777777" w:rsidR="00F13FAD" w:rsidRDefault="00F13FAD" w:rsidP="00F13FAD">
      <w:pPr>
        <w:pStyle w:val="NormalWeb"/>
        <w:numPr>
          <w:ilvl w:val="0"/>
          <w:numId w:val="13"/>
        </w:numPr>
        <w:shd w:val="clear" w:color="auto" w:fill="FFFFFF"/>
        <w:spacing w:before="0" w:beforeAutospacing="0" w:line="0" w:lineRule="atLeast"/>
        <w:rPr>
          <w:rFonts w:ascii="Arial" w:hAnsi="Arial" w:cs="Arial"/>
          <w:color w:val="212529"/>
        </w:rPr>
      </w:pPr>
      <w:r>
        <w:rPr>
          <w:rFonts w:ascii="Arial" w:hAnsi="Arial" w:cs="Arial"/>
          <w:color w:val="212529"/>
        </w:rPr>
        <w:t>NSE began operations in the Wholesale Debt Market (WDM) segment in 1994, the equities segment in 1994, and the derivatives segment in 2000.</w:t>
      </w:r>
    </w:p>
    <w:p w14:paraId="44B22EF9" w14:textId="77777777" w:rsidR="00F13FAD" w:rsidRDefault="00F13FAD" w:rsidP="00F13FAD">
      <w:pPr>
        <w:pStyle w:val="NormalWeb"/>
        <w:numPr>
          <w:ilvl w:val="0"/>
          <w:numId w:val="13"/>
        </w:numPr>
        <w:shd w:val="clear" w:color="auto" w:fill="FFFFFF"/>
        <w:spacing w:before="0" w:beforeAutospacing="0" w:line="0" w:lineRule="atLeast"/>
        <w:rPr>
          <w:rFonts w:ascii="Arial" w:hAnsi="Arial" w:cs="Arial"/>
          <w:color w:val="212529"/>
        </w:rPr>
      </w:pPr>
      <w:r>
        <w:rPr>
          <w:rFonts w:ascii="Arial" w:hAnsi="Arial" w:cs="Arial"/>
          <w:color w:val="212529"/>
        </w:rPr>
        <w:t>In 1995, the BSE switched to an electronic trading system from the open-floor system.</w:t>
      </w:r>
    </w:p>
    <w:p w14:paraId="02C0CDB8" w14:textId="77777777" w:rsidR="00F13FAD" w:rsidRDefault="00F13FAD" w:rsidP="00F13FAD">
      <w:pPr>
        <w:pStyle w:val="NormalWeb"/>
        <w:numPr>
          <w:ilvl w:val="0"/>
          <w:numId w:val="13"/>
        </w:numPr>
        <w:shd w:val="clear" w:color="auto" w:fill="FFFFFF"/>
        <w:spacing w:before="0" w:beforeAutospacing="0" w:line="0" w:lineRule="atLeast"/>
        <w:rPr>
          <w:rFonts w:ascii="Arial" w:hAnsi="Arial" w:cs="Arial"/>
          <w:color w:val="212529"/>
        </w:rPr>
      </w:pPr>
      <w:r>
        <w:rPr>
          <w:rFonts w:ascii="Arial" w:hAnsi="Arial" w:cs="Arial"/>
          <w:color w:val="212529"/>
        </w:rPr>
        <w:t>In 2015, SEBI was merged with the Forward Markets Commission (FMC) to strengthen commodities market regulation, facilitate domestic and foreign institutional participation, and launch new products.</w:t>
      </w:r>
    </w:p>
    <w:p w14:paraId="39A0B55B" w14:textId="77777777" w:rsidR="00F13FAD" w:rsidRDefault="00F13FAD" w:rsidP="00F13FAD">
      <w:pPr>
        <w:pStyle w:val="Heading2"/>
        <w:shd w:val="clear" w:color="auto" w:fill="FFFFFF"/>
        <w:spacing w:line="0" w:lineRule="atLeast"/>
        <w:rPr>
          <w:rFonts w:ascii="Arial" w:hAnsi="Arial" w:cs="Arial"/>
          <w:b w:val="0"/>
          <w:bCs w:val="0"/>
          <w:color w:val="212529"/>
        </w:rPr>
      </w:pPr>
      <w:r>
        <w:rPr>
          <w:rFonts w:ascii="Arial" w:hAnsi="Arial" w:cs="Arial"/>
          <w:b w:val="0"/>
          <w:bCs w:val="0"/>
          <w:color w:val="212529"/>
        </w:rPr>
        <w:t>Current Day of the State Of Affairs:</w:t>
      </w:r>
    </w:p>
    <w:p w14:paraId="655A2FA9" w14:textId="77777777" w:rsidR="00F13FAD" w:rsidRDefault="00F13FAD" w:rsidP="00F13FAD">
      <w:pPr>
        <w:pStyle w:val="NormalWeb"/>
        <w:shd w:val="clear" w:color="auto" w:fill="FFFFFF"/>
        <w:spacing w:before="0" w:beforeAutospacing="0" w:line="0" w:lineRule="atLeast"/>
        <w:rPr>
          <w:rFonts w:ascii="Arial" w:hAnsi="Arial" w:cs="Arial"/>
          <w:color w:val="212529"/>
        </w:rPr>
      </w:pPr>
      <w:r>
        <w:rPr>
          <w:rFonts w:ascii="Arial" w:hAnsi="Arial" w:cs="Arial"/>
          <w:color w:val="212529"/>
        </w:rPr>
        <w:t>Today, the BSE is measured as the world’s 11th largest stock exchange, and the market capitalization is likely to be around $1.7 trillion. The market capitalization of the NSE is estimated to be over $1.65 trillion.</w:t>
      </w:r>
    </w:p>
    <w:p w14:paraId="4FE361CD" w14:textId="77777777" w:rsidR="00F13FAD" w:rsidRDefault="00F13FAD" w:rsidP="00F13FAD">
      <w:pPr>
        <w:pStyle w:val="NormalWeb"/>
        <w:shd w:val="clear" w:color="auto" w:fill="FFFFFF"/>
        <w:spacing w:before="0" w:beforeAutospacing="0" w:line="0" w:lineRule="atLeast"/>
        <w:rPr>
          <w:rFonts w:ascii="Arial" w:hAnsi="Arial" w:cs="Arial"/>
          <w:color w:val="212529"/>
        </w:rPr>
      </w:pPr>
      <w:r>
        <w:rPr>
          <w:rFonts w:ascii="Arial" w:hAnsi="Arial" w:cs="Arial"/>
          <w:color w:val="212529"/>
        </w:rPr>
        <w:t>The exchanges are still on parity in terms of share trading volumes. Nowadays, people can conduct online trading sitting in their homes. Facilities such as zero brokerage Demat and live updates are available.</w:t>
      </w:r>
    </w:p>
    <w:p w14:paraId="612BD587" w14:textId="77777777" w:rsidR="00F13FAD" w:rsidRDefault="00F13FAD" w:rsidP="00F13FAD"/>
    <w:p w14:paraId="69AB9700" w14:textId="77777777" w:rsidR="00F13FAD" w:rsidRDefault="00F13FAD" w:rsidP="00F13FAD">
      <w:pPr>
        <w:rPr>
          <w:rFonts w:ascii="Times New Roman" w:hAnsi="Times New Roman" w:cs="Times New Roman"/>
          <w:b/>
          <w:sz w:val="28"/>
          <w:szCs w:val="28"/>
          <w:u w:val="single"/>
        </w:rPr>
      </w:pPr>
      <w:r w:rsidRPr="00E45E09">
        <w:rPr>
          <w:rFonts w:ascii="Times New Roman" w:hAnsi="Times New Roman" w:cs="Times New Roman"/>
          <w:b/>
          <w:sz w:val="28"/>
          <w:szCs w:val="28"/>
          <w:u w:val="single"/>
        </w:rPr>
        <w:t>NSE, BSE and SME Exchanges and Overseas Stock Exchanges</w:t>
      </w:r>
    </w:p>
    <w:p w14:paraId="76CCB79C" w14:textId="77777777" w:rsidR="00F13FAD" w:rsidRPr="00E45E09" w:rsidRDefault="00F13FAD" w:rsidP="00F13FAD">
      <w:pPr>
        <w:spacing w:after="300" w:line="240" w:lineRule="auto"/>
        <w:jc w:val="both"/>
        <w:rPr>
          <w:rFonts w:ascii="Segoe UI" w:eastAsia="Times New Roman" w:hAnsi="Segoe UI" w:cs="Segoe UI"/>
          <w:color w:val="374151"/>
          <w:sz w:val="24"/>
          <w:szCs w:val="24"/>
          <w:lang w:val="en-IN" w:eastAsia="en-IN"/>
        </w:rPr>
      </w:pPr>
      <w:r w:rsidRPr="00E45E09">
        <w:rPr>
          <w:rFonts w:ascii="Segoe UI" w:eastAsia="Times New Roman" w:hAnsi="Segoe UI" w:cs="Segoe UI"/>
          <w:color w:val="374151"/>
          <w:sz w:val="24"/>
          <w:szCs w:val="24"/>
          <w:lang w:val="en-IN" w:eastAsia="en-IN"/>
        </w:rPr>
        <w:t>NSE (National Stock Exchange) and BSE (Bombay Stock Exchange) are the two major stock exchanges in India. Additionally, there are SME (Small and Medium-sized Enterprises) exchanges in India that cater to smaller companies. Overseas stock exchanges refer to stock markets located outside of India. Here's an overview of each:</w:t>
      </w:r>
    </w:p>
    <w:p w14:paraId="26ACC8FE" w14:textId="77777777" w:rsidR="00F13FAD" w:rsidRPr="00E45E09" w:rsidRDefault="00F13FAD" w:rsidP="00F13FAD">
      <w:pPr>
        <w:spacing w:before="300" w:after="300" w:line="240" w:lineRule="auto"/>
        <w:jc w:val="both"/>
        <w:rPr>
          <w:rFonts w:ascii="Segoe UI" w:eastAsia="Times New Roman" w:hAnsi="Segoe UI" w:cs="Segoe UI"/>
          <w:color w:val="374151"/>
          <w:sz w:val="24"/>
          <w:szCs w:val="24"/>
          <w:lang w:val="en-IN" w:eastAsia="en-IN"/>
        </w:rPr>
      </w:pPr>
      <w:r w:rsidRPr="00E45E09">
        <w:rPr>
          <w:rFonts w:ascii="Segoe UI" w:eastAsia="Times New Roman" w:hAnsi="Segoe UI" w:cs="Segoe UI"/>
          <w:b/>
          <w:bCs/>
          <w:color w:val="374151"/>
          <w:sz w:val="24"/>
          <w:szCs w:val="24"/>
          <w:lang w:val="en-IN" w:eastAsia="en-IN"/>
        </w:rPr>
        <w:t>1. NSE (National Stock Exchange):</w:t>
      </w:r>
    </w:p>
    <w:p w14:paraId="4DA792B6" w14:textId="77777777" w:rsidR="00F13FAD" w:rsidRPr="00E45E09" w:rsidRDefault="00F13FAD" w:rsidP="00F13FAD">
      <w:pPr>
        <w:numPr>
          <w:ilvl w:val="0"/>
          <w:numId w:val="18"/>
        </w:numPr>
        <w:spacing w:after="0" w:line="240" w:lineRule="auto"/>
        <w:ind w:left="0"/>
        <w:jc w:val="both"/>
        <w:rPr>
          <w:rFonts w:ascii="Segoe UI" w:eastAsia="Times New Roman" w:hAnsi="Segoe UI" w:cs="Segoe UI"/>
          <w:color w:val="374151"/>
          <w:sz w:val="24"/>
          <w:szCs w:val="24"/>
          <w:lang w:val="en-IN" w:eastAsia="en-IN"/>
        </w:rPr>
      </w:pPr>
      <w:r w:rsidRPr="00E45E09">
        <w:rPr>
          <w:rFonts w:ascii="Segoe UI" w:eastAsia="Times New Roman" w:hAnsi="Segoe UI" w:cs="Segoe UI"/>
          <w:b/>
          <w:bCs/>
          <w:color w:val="374151"/>
          <w:sz w:val="24"/>
          <w:szCs w:val="24"/>
          <w:lang w:val="en-IN" w:eastAsia="en-IN"/>
        </w:rPr>
        <w:t>Location:</w:t>
      </w:r>
      <w:r w:rsidRPr="00E45E09">
        <w:rPr>
          <w:rFonts w:ascii="Segoe UI" w:eastAsia="Times New Roman" w:hAnsi="Segoe UI" w:cs="Segoe UI"/>
          <w:color w:val="374151"/>
          <w:sz w:val="24"/>
          <w:szCs w:val="24"/>
          <w:lang w:val="en-IN" w:eastAsia="en-IN"/>
        </w:rPr>
        <w:t xml:space="preserve"> Mumbai, India.</w:t>
      </w:r>
    </w:p>
    <w:p w14:paraId="30B4332C" w14:textId="77777777" w:rsidR="00F13FAD" w:rsidRPr="00E45E09" w:rsidRDefault="00F13FAD" w:rsidP="00F13FAD">
      <w:pPr>
        <w:numPr>
          <w:ilvl w:val="0"/>
          <w:numId w:val="18"/>
        </w:numPr>
        <w:spacing w:after="0" w:line="240" w:lineRule="auto"/>
        <w:ind w:left="0"/>
        <w:jc w:val="both"/>
        <w:rPr>
          <w:rFonts w:ascii="Segoe UI" w:eastAsia="Times New Roman" w:hAnsi="Segoe UI" w:cs="Segoe UI"/>
          <w:color w:val="374151"/>
          <w:sz w:val="24"/>
          <w:szCs w:val="24"/>
          <w:lang w:val="en-IN" w:eastAsia="en-IN"/>
        </w:rPr>
      </w:pPr>
      <w:r w:rsidRPr="00E45E09">
        <w:rPr>
          <w:rFonts w:ascii="Segoe UI" w:eastAsia="Times New Roman" w:hAnsi="Segoe UI" w:cs="Segoe UI"/>
          <w:b/>
          <w:bCs/>
          <w:color w:val="374151"/>
          <w:sz w:val="24"/>
          <w:szCs w:val="24"/>
          <w:lang w:val="en-IN" w:eastAsia="en-IN"/>
        </w:rPr>
        <w:t>Established:</w:t>
      </w:r>
      <w:r w:rsidRPr="00E45E09">
        <w:rPr>
          <w:rFonts w:ascii="Segoe UI" w:eastAsia="Times New Roman" w:hAnsi="Segoe UI" w:cs="Segoe UI"/>
          <w:color w:val="374151"/>
          <w:sz w:val="24"/>
          <w:szCs w:val="24"/>
          <w:lang w:val="en-IN" w:eastAsia="en-IN"/>
        </w:rPr>
        <w:t xml:space="preserve"> NSE was established in 1992.</w:t>
      </w:r>
    </w:p>
    <w:p w14:paraId="0C1BFDC6" w14:textId="77777777" w:rsidR="00F13FAD" w:rsidRPr="00E45E09" w:rsidRDefault="00F13FAD" w:rsidP="00F13FAD">
      <w:pPr>
        <w:numPr>
          <w:ilvl w:val="0"/>
          <w:numId w:val="18"/>
        </w:numPr>
        <w:spacing w:after="0" w:line="240" w:lineRule="auto"/>
        <w:ind w:left="0"/>
        <w:jc w:val="both"/>
        <w:rPr>
          <w:rFonts w:ascii="Segoe UI" w:eastAsia="Times New Roman" w:hAnsi="Segoe UI" w:cs="Segoe UI"/>
          <w:color w:val="374151"/>
          <w:sz w:val="24"/>
          <w:szCs w:val="24"/>
          <w:lang w:val="en-IN" w:eastAsia="en-IN"/>
        </w:rPr>
      </w:pPr>
      <w:r w:rsidRPr="00E45E09">
        <w:rPr>
          <w:rFonts w:ascii="Segoe UI" w:eastAsia="Times New Roman" w:hAnsi="Segoe UI" w:cs="Segoe UI"/>
          <w:b/>
          <w:bCs/>
          <w:color w:val="374151"/>
          <w:sz w:val="24"/>
          <w:szCs w:val="24"/>
          <w:lang w:val="en-IN" w:eastAsia="en-IN"/>
        </w:rPr>
        <w:t>Key Features:</w:t>
      </w:r>
      <w:r w:rsidRPr="00E45E09">
        <w:rPr>
          <w:rFonts w:ascii="Segoe UI" w:eastAsia="Times New Roman" w:hAnsi="Segoe UI" w:cs="Segoe UI"/>
          <w:color w:val="374151"/>
          <w:sz w:val="24"/>
          <w:szCs w:val="24"/>
          <w:lang w:val="en-IN" w:eastAsia="en-IN"/>
        </w:rPr>
        <w:t xml:space="preserve"> NSE is one of the largest stock exchanges in India and offers a modern, fully automated trading platform. It operates the Nifty 50 and Nifty Bank indices, among others, and provides a wide range of financial products, including equities, derivatives, ETFs, and debt instruments.</w:t>
      </w:r>
    </w:p>
    <w:p w14:paraId="28E33FCA" w14:textId="77777777" w:rsidR="00F13FAD" w:rsidRPr="00E45E09" w:rsidRDefault="00F13FAD" w:rsidP="00F13FAD">
      <w:pPr>
        <w:spacing w:before="300" w:after="300" w:line="240" w:lineRule="auto"/>
        <w:jc w:val="both"/>
        <w:rPr>
          <w:rFonts w:ascii="Segoe UI" w:eastAsia="Times New Roman" w:hAnsi="Segoe UI" w:cs="Segoe UI"/>
          <w:color w:val="374151"/>
          <w:sz w:val="24"/>
          <w:szCs w:val="24"/>
          <w:lang w:val="en-IN" w:eastAsia="en-IN"/>
        </w:rPr>
      </w:pPr>
      <w:r w:rsidRPr="00E45E09">
        <w:rPr>
          <w:rFonts w:ascii="Segoe UI" w:eastAsia="Times New Roman" w:hAnsi="Segoe UI" w:cs="Segoe UI"/>
          <w:b/>
          <w:bCs/>
          <w:color w:val="374151"/>
          <w:sz w:val="24"/>
          <w:szCs w:val="24"/>
          <w:lang w:val="en-IN" w:eastAsia="en-IN"/>
        </w:rPr>
        <w:t>2. BSE (Bombay Stock Exchange):</w:t>
      </w:r>
    </w:p>
    <w:p w14:paraId="3112FE54" w14:textId="77777777" w:rsidR="00F13FAD" w:rsidRPr="00E45E09" w:rsidRDefault="00F13FAD" w:rsidP="00F13FAD">
      <w:pPr>
        <w:numPr>
          <w:ilvl w:val="0"/>
          <w:numId w:val="19"/>
        </w:numPr>
        <w:spacing w:after="0" w:line="240" w:lineRule="auto"/>
        <w:ind w:left="0"/>
        <w:jc w:val="both"/>
        <w:rPr>
          <w:rFonts w:ascii="Segoe UI" w:eastAsia="Times New Roman" w:hAnsi="Segoe UI" w:cs="Segoe UI"/>
          <w:color w:val="374151"/>
          <w:sz w:val="24"/>
          <w:szCs w:val="24"/>
          <w:lang w:val="en-IN" w:eastAsia="en-IN"/>
        </w:rPr>
      </w:pPr>
      <w:r w:rsidRPr="00E45E09">
        <w:rPr>
          <w:rFonts w:ascii="Segoe UI" w:eastAsia="Times New Roman" w:hAnsi="Segoe UI" w:cs="Segoe UI"/>
          <w:b/>
          <w:bCs/>
          <w:color w:val="374151"/>
          <w:sz w:val="24"/>
          <w:szCs w:val="24"/>
          <w:lang w:val="en-IN" w:eastAsia="en-IN"/>
        </w:rPr>
        <w:t>Location:</w:t>
      </w:r>
      <w:r w:rsidRPr="00E45E09">
        <w:rPr>
          <w:rFonts w:ascii="Segoe UI" w:eastAsia="Times New Roman" w:hAnsi="Segoe UI" w:cs="Segoe UI"/>
          <w:color w:val="374151"/>
          <w:sz w:val="24"/>
          <w:szCs w:val="24"/>
          <w:lang w:val="en-IN" w:eastAsia="en-IN"/>
        </w:rPr>
        <w:t xml:space="preserve"> Mumbai, India.</w:t>
      </w:r>
    </w:p>
    <w:p w14:paraId="40B39D1B" w14:textId="77777777" w:rsidR="00F13FAD" w:rsidRPr="00E45E09" w:rsidRDefault="00F13FAD" w:rsidP="00F13FAD">
      <w:pPr>
        <w:numPr>
          <w:ilvl w:val="0"/>
          <w:numId w:val="19"/>
        </w:numPr>
        <w:spacing w:after="0" w:line="240" w:lineRule="auto"/>
        <w:ind w:left="0"/>
        <w:jc w:val="both"/>
        <w:rPr>
          <w:rFonts w:ascii="Segoe UI" w:eastAsia="Times New Roman" w:hAnsi="Segoe UI" w:cs="Segoe UI"/>
          <w:color w:val="374151"/>
          <w:sz w:val="24"/>
          <w:szCs w:val="24"/>
          <w:lang w:val="en-IN" w:eastAsia="en-IN"/>
        </w:rPr>
      </w:pPr>
      <w:r w:rsidRPr="00E45E09">
        <w:rPr>
          <w:rFonts w:ascii="Segoe UI" w:eastAsia="Times New Roman" w:hAnsi="Segoe UI" w:cs="Segoe UI"/>
          <w:b/>
          <w:bCs/>
          <w:color w:val="374151"/>
          <w:sz w:val="24"/>
          <w:szCs w:val="24"/>
          <w:lang w:val="en-IN" w:eastAsia="en-IN"/>
        </w:rPr>
        <w:t>Established:</w:t>
      </w:r>
      <w:r w:rsidRPr="00E45E09">
        <w:rPr>
          <w:rFonts w:ascii="Segoe UI" w:eastAsia="Times New Roman" w:hAnsi="Segoe UI" w:cs="Segoe UI"/>
          <w:color w:val="374151"/>
          <w:sz w:val="24"/>
          <w:szCs w:val="24"/>
          <w:lang w:val="en-IN" w:eastAsia="en-IN"/>
        </w:rPr>
        <w:t xml:space="preserve"> BSE is one of the oldest stock exchanges in Asia, dating back to 1875.</w:t>
      </w:r>
    </w:p>
    <w:p w14:paraId="459EDE50" w14:textId="77777777" w:rsidR="00F13FAD" w:rsidRPr="00E45E09" w:rsidRDefault="00F13FAD" w:rsidP="00F13FAD">
      <w:pPr>
        <w:numPr>
          <w:ilvl w:val="0"/>
          <w:numId w:val="19"/>
        </w:numPr>
        <w:spacing w:after="0" w:line="240" w:lineRule="auto"/>
        <w:ind w:left="0"/>
        <w:jc w:val="both"/>
        <w:rPr>
          <w:rFonts w:ascii="Segoe UI" w:eastAsia="Times New Roman" w:hAnsi="Segoe UI" w:cs="Segoe UI"/>
          <w:color w:val="374151"/>
          <w:sz w:val="24"/>
          <w:szCs w:val="24"/>
          <w:lang w:val="en-IN" w:eastAsia="en-IN"/>
        </w:rPr>
      </w:pPr>
      <w:r w:rsidRPr="00E45E09">
        <w:rPr>
          <w:rFonts w:ascii="Segoe UI" w:eastAsia="Times New Roman" w:hAnsi="Segoe UI" w:cs="Segoe UI"/>
          <w:b/>
          <w:bCs/>
          <w:color w:val="374151"/>
          <w:sz w:val="24"/>
          <w:szCs w:val="24"/>
          <w:lang w:val="en-IN" w:eastAsia="en-IN"/>
        </w:rPr>
        <w:t>Key Features:</w:t>
      </w:r>
      <w:r w:rsidRPr="00E45E09">
        <w:rPr>
          <w:rFonts w:ascii="Segoe UI" w:eastAsia="Times New Roman" w:hAnsi="Segoe UI" w:cs="Segoe UI"/>
          <w:color w:val="374151"/>
          <w:sz w:val="24"/>
          <w:szCs w:val="24"/>
          <w:lang w:val="en-IN" w:eastAsia="en-IN"/>
        </w:rPr>
        <w:t xml:space="preserve"> BSE is known for its historic significance and operates the Sensex index, which tracks the performance of the 30 largest companies listed on the exchange. It offers a variety of financial products, including equities, derivatives, mutual funds, and fixed-income securities.</w:t>
      </w:r>
    </w:p>
    <w:p w14:paraId="7AC3842B" w14:textId="77777777" w:rsidR="00F13FAD" w:rsidRPr="00E45E09" w:rsidRDefault="00F13FAD" w:rsidP="00F13FAD">
      <w:pPr>
        <w:spacing w:before="300" w:after="300" w:line="240" w:lineRule="auto"/>
        <w:jc w:val="both"/>
        <w:rPr>
          <w:rFonts w:ascii="Segoe UI" w:eastAsia="Times New Roman" w:hAnsi="Segoe UI" w:cs="Segoe UI"/>
          <w:color w:val="374151"/>
          <w:sz w:val="24"/>
          <w:szCs w:val="24"/>
          <w:lang w:val="en-IN" w:eastAsia="en-IN"/>
        </w:rPr>
      </w:pPr>
      <w:r w:rsidRPr="00E45E09">
        <w:rPr>
          <w:rFonts w:ascii="Segoe UI" w:eastAsia="Times New Roman" w:hAnsi="Segoe UI" w:cs="Segoe UI"/>
          <w:b/>
          <w:bCs/>
          <w:color w:val="374151"/>
          <w:sz w:val="24"/>
          <w:szCs w:val="24"/>
          <w:lang w:val="en-IN" w:eastAsia="en-IN"/>
        </w:rPr>
        <w:t>3. SME Exchanges in India:</w:t>
      </w:r>
    </w:p>
    <w:p w14:paraId="39B24F0C" w14:textId="77777777" w:rsidR="00F13FAD" w:rsidRPr="00E45E09" w:rsidRDefault="00F13FAD" w:rsidP="00F13FAD">
      <w:pPr>
        <w:numPr>
          <w:ilvl w:val="0"/>
          <w:numId w:val="20"/>
        </w:numPr>
        <w:spacing w:after="0" w:line="240" w:lineRule="auto"/>
        <w:ind w:left="0"/>
        <w:jc w:val="both"/>
        <w:rPr>
          <w:rFonts w:ascii="Segoe UI" w:eastAsia="Times New Roman" w:hAnsi="Segoe UI" w:cs="Segoe UI"/>
          <w:color w:val="374151"/>
          <w:sz w:val="24"/>
          <w:szCs w:val="24"/>
          <w:lang w:val="en-IN" w:eastAsia="en-IN"/>
        </w:rPr>
      </w:pPr>
      <w:r w:rsidRPr="00E45E09">
        <w:rPr>
          <w:rFonts w:ascii="Segoe UI" w:eastAsia="Times New Roman" w:hAnsi="Segoe UI" w:cs="Segoe UI"/>
          <w:color w:val="374151"/>
          <w:sz w:val="24"/>
          <w:szCs w:val="24"/>
          <w:lang w:val="en-IN" w:eastAsia="en-IN"/>
        </w:rPr>
        <w:t>India has two dedicated SME exchanges: the BSE SME Platform and the NSE Emerge Platform. These platforms are designed to provide smaller companies with a listing avenue and access to capital markets.</w:t>
      </w:r>
    </w:p>
    <w:p w14:paraId="088F48B8" w14:textId="77777777" w:rsidR="00F13FAD" w:rsidRPr="00E45E09" w:rsidRDefault="00F13FAD" w:rsidP="00F13FAD">
      <w:pPr>
        <w:numPr>
          <w:ilvl w:val="0"/>
          <w:numId w:val="20"/>
        </w:numPr>
        <w:spacing w:after="0" w:line="240" w:lineRule="auto"/>
        <w:ind w:left="0"/>
        <w:jc w:val="both"/>
        <w:rPr>
          <w:rFonts w:ascii="Segoe UI" w:eastAsia="Times New Roman" w:hAnsi="Segoe UI" w:cs="Segoe UI"/>
          <w:color w:val="374151"/>
          <w:sz w:val="24"/>
          <w:szCs w:val="24"/>
          <w:lang w:val="en-IN" w:eastAsia="en-IN"/>
        </w:rPr>
      </w:pPr>
      <w:r w:rsidRPr="00E45E09">
        <w:rPr>
          <w:rFonts w:ascii="Segoe UI" w:eastAsia="Times New Roman" w:hAnsi="Segoe UI" w:cs="Segoe UI"/>
          <w:color w:val="374151"/>
          <w:sz w:val="24"/>
          <w:szCs w:val="24"/>
          <w:lang w:val="en-IN" w:eastAsia="en-IN"/>
        </w:rPr>
        <w:t>SME exchanges have relaxed listing and disclosure norms compared to the main exchanges, making it easier for small and medium-sized enterprises to go public and raise capital.</w:t>
      </w:r>
    </w:p>
    <w:p w14:paraId="7BE567A6" w14:textId="77777777" w:rsidR="00F13FAD" w:rsidRPr="00E45E09" w:rsidRDefault="00F13FAD" w:rsidP="00F13FAD">
      <w:pPr>
        <w:spacing w:before="300" w:after="300" w:line="240" w:lineRule="auto"/>
        <w:jc w:val="both"/>
        <w:rPr>
          <w:rFonts w:ascii="Segoe UI" w:eastAsia="Times New Roman" w:hAnsi="Segoe UI" w:cs="Segoe UI"/>
          <w:color w:val="374151"/>
          <w:sz w:val="24"/>
          <w:szCs w:val="24"/>
          <w:lang w:val="en-IN" w:eastAsia="en-IN"/>
        </w:rPr>
      </w:pPr>
      <w:r w:rsidRPr="00E45E09">
        <w:rPr>
          <w:rFonts w:ascii="Segoe UI" w:eastAsia="Times New Roman" w:hAnsi="Segoe UI" w:cs="Segoe UI"/>
          <w:b/>
          <w:bCs/>
          <w:color w:val="374151"/>
          <w:sz w:val="24"/>
          <w:szCs w:val="24"/>
          <w:lang w:val="en-IN" w:eastAsia="en-IN"/>
        </w:rPr>
        <w:t>4. Overseas Stock Exchanges:</w:t>
      </w:r>
    </w:p>
    <w:p w14:paraId="2AC63CF9" w14:textId="77777777" w:rsidR="00F13FAD" w:rsidRPr="00E45E09" w:rsidRDefault="00F13FAD" w:rsidP="00F13FAD">
      <w:pPr>
        <w:numPr>
          <w:ilvl w:val="0"/>
          <w:numId w:val="21"/>
        </w:numPr>
        <w:spacing w:after="0" w:line="240" w:lineRule="auto"/>
        <w:ind w:left="0"/>
        <w:jc w:val="both"/>
        <w:rPr>
          <w:rFonts w:ascii="Segoe UI" w:eastAsia="Times New Roman" w:hAnsi="Segoe UI" w:cs="Segoe UI"/>
          <w:color w:val="374151"/>
          <w:sz w:val="24"/>
          <w:szCs w:val="24"/>
          <w:lang w:val="en-IN" w:eastAsia="en-IN"/>
        </w:rPr>
      </w:pPr>
      <w:r w:rsidRPr="00E45E09">
        <w:rPr>
          <w:rFonts w:ascii="Segoe UI" w:eastAsia="Times New Roman" w:hAnsi="Segoe UI" w:cs="Segoe UI"/>
          <w:color w:val="374151"/>
          <w:sz w:val="24"/>
          <w:szCs w:val="24"/>
          <w:lang w:val="en-IN" w:eastAsia="en-IN"/>
        </w:rPr>
        <w:t>Overseas stock exchanges refer to stock markets located in countries other than India. These exchanges are located worldwide and cater to companies from various countries.</w:t>
      </w:r>
    </w:p>
    <w:p w14:paraId="121DE511" w14:textId="77777777" w:rsidR="00F13FAD" w:rsidRPr="00E45E09" w:rsidRDefault="00F13FAD" w:rsidP="00F13FAD">
      <w:pPr>
        <w:numPr>
          <w:ilvl w:val="0"/>
          <w:numId w:val="21"/>
        </w:numPr>
        <w:spacing w:after="0" w:line="240" w:lineRule="auto"/>
        <w:ind w:left="0"/>
        <w:jc w:val="both"/>
        <w:rPr>
          <w:rFonts w:ascii="Segoe UI" w:eastAsia="Times New Roman" w:hAnsi="Segoe UI" w:cs="Segoe UI"/>
          <w:color w:val="374151"/>
          <w:sz w:val="24"/>
          <w:szCs w:val="24"/>
          <w:lang w:val="en-IN" w:eastAsia="en-IN"/>
        </w:rPr>
      </w:pPr>
      <w:r w:rsidRPr="00E45E09">
        <w:rPr>
          <w:rFonts w:ascii="Segoe UI" w:eastAsia="Times New Roman" w:hAnsi="Segoe UI" w:cs="Segoe UI"/>
          <w:color w:val="374151"/>
          <w:sz w:val="24"/>
          <w:szCs w:val="24"/>
          <w:lang w:val="en-IN" w:eastAsia="en-IN"/>
        </w:rPr>
        <w:t>Some well-known overseas stock exchanges include:</w:t>
      </w:r>
    </w:p>
    <w:p w14:paraId="1FE97107" w14:textId="77777777" w:rsidR="00F13FAD" w:rsidRPr="00E45E09" w:rsidRDefault="00F13FAD" w:rsidP="00F13FAD">
      <w:pPr>
        <w:numPr>
          <w:ilvl w:val="1"/>
          <w:numId w:val="21"/>
        </w:numPr>
        <w:spacing w:after="0" w:line="240" w:lineRule="auto"/>
        <w:ind w:left="720"/>
        <w:jc w:val="both"/>
        <w:rPr>
          <w:rFonts w:ascii="Segoe UI" w:eastAsia="Times New Roman" w:hAnsi="Segoe UI" w:cs="Segoe UI"/>
          <w:color w:val="374151"/>
          <w:sz w:val="24"/>
          <w:szCs w:val="24"/>
          <w:lang w:val="en-IN" w:eastAsia="en-IN"/>
        </w:rPr>
      </w:pPr>
      <w:r w:rsidRPr="00E45E09">
        <w:rPr>
          <w:rFonts w:ascii="Segoe UI" w:eastAsia="Times New Roman" w:hAnsi="Segoe UI" w:cs="Segoe UI"/>
          <w:b/>
          <w:bCs/>
          <w:color w:val="374151"/>
          <w:sz w:val="24"/>
          <w:szCs w:val="24"/>
          <w:lang w:val="en-IN" w:eastAsia="en-IN"/>
        </w:rPr>
        <w:t>New York Stock Exchange (NYSE):</w:t>
      </w:r>
      <w:r w:rsidRPr="00E45E09">
        <w:rPr>
          <w:rFonts w:ascii="Segoe UI" w:eastAsia="Times New Roman" w:hAnsi="Segoe UI" w:cs="Segoe UI"/>
          <w:color w:val="374151"/>
          <w:sz w:val="24"/>
          <w:szCs w:val="24"/>
          <w:lang w:val="en-IN" w:eastAsia="en-IN"/>
        </w:rPr>
        <w:t xml:space="preserve"> Located in the United States, the NYSE is one of the largest and most prestigious stock exchanges globally.</w:t>
      </w:r>
    </w:p>
    <w:p w14:paraId="59A1E7B1" w14:textId="77777777" w:rsidR="00F13FAD" w:rsidRPr="00E45E09" w:rsidRDefault="00F13FAD" w:rsidP="00F13FAD">
      <w:pPr>
        <w:numPr>
          <w:ilvl w:val="1"/>
          <w:numId w:val="21"/>
        </w:numPr>
        <w:spacing w:after="0" w:line="240" w:lineRule="auto"/>
        <w:ind w:left="720"/>
        <w:jc w:val="both"/>
        <w:rPr>
          <w:rFonts w:ascii="Segoe UI" w:eastAsia="Times New Roman" w:hAnsi="Segoe UI" w:cs="Segoe UI"/>
          <w:color w:val="374151"/>
          <w:sz w:val="24"/>
          <w:szCs w:val="24"/>
          <w:lang w:val="en-IN" w:eastAsia="en-IN"/>
        </w:rPr>
      </w:pPr>
      <w:r w:rsidRPr="00E45E09">
        <w:rPr>
          <w:rFonts w:ascii="Segoe UI" w:eastAsia="Times New Roman" w:hAnsi="Segoe UI" w:cs="Segoe UI"/>
          <w:b/>
          <w:bCs/>
          <w:color w:val="374151"/>
          <w:sz w:val="24"/>
          <w:szCs w:val="24"/>
          <w:lang w:val="en-IN" w:eastAsia="en-IN"/>
        </w:rPr>
        <w:t>NASDAQ:</w:t>
      </w:r>
      <w:r w:rsidRPr="00E45E09">
        <w:rPr>
          <w:rFonts w:ascii="Segoe UI" w:eastAsia="Times New Roman" w:hAnsi="Segoe UI" w:cs="Segoe UI"/>
          <w:color w:val="374151"/>
          <w:sz w:val="24"/>
          <w:szCs w:val="24"/>
          <w:lang w:val="en-IN" w:eastAsia="en-IN"/>
        </w:rPr>
        <w:t xml:space="preserve"> Also based in the United States, NASDAQ is known for its technology-focused listings.</w:t>
      </w:r>
    </w:p>
    <w:p w14:paraId="33425C73" w14:textId="77777777" w:rsidR="00F13FAD" w:rsidRPr="00E45E09" w:rsidRDefault="00F13FAD" w:rsidP="00F13FAD">
      <w:pPr>
        <w:numPr>
          <w:ilvl w:val="1"/>
          <w:numId w:val="21"/>
        </w:numPr>
        <w:spacing w:after="0" w:line="240" w:lineRule="auto"/>
        <w:ind w:left="720"/>
        <w:jc w:val="both"/>
        <w:rPr>
          <w:rFonts w:ascii="Segoe UI" w:eastAsia="Times New Roman" w:hAnsi="Segoe UI" w:cs="Segoe UI"/>
          <w:color w:val="374151"/>
          <w:sz w:val="24"/>
          <w:szCs w:val="24"/>
          <w:lang w:val="en-IN" w:eastAsia="en-IN"/>
        </w:rPr>
      </w:pPr>
      <w:r w:rsidRPr="00E45E09">
        <w:rPr>
          <w:rFonts w:ascii="Segoe UI" w:eastAsia="Times New Roman" w:hAnsi="Segoe UI" w:cs="Segoe UI"/>
          <w:b/>
          <w:bCs/>
          <w:color w:val="374151"/>
          <w:sz w:val="24"/>
          <w:szCs w:val="24"/>
          <w:lang w:val="en-IN" w:eastAsia="en-IN"/>
        </w:rPr>
        <w:t>London Stock Exchange (LSE):</w:t>
      </w:r>
      <w:r w:rsidRPr="00E45E09">
        <w:rPr>
          <w:rFonts w:ascii="Segoe UI" w:eastAsia="Times New Roman" w:hAnsi="Segoe UI" w:cs="Segoe UI"/>
          <w:color w:val="374151"/>
          <w:sz w:val="24"/>
          <w:szCs w:val="24"/>
          <w:lang w:val="en-IN" w:eastAsia="en-IN"/>
        </w:rPr>
        <w:t xml:space="preserve"> Located in the United Kingdom, the LSE is a prominent global exchange.</w:t>
      </w:r>
    </w:p>
    <w:p w14:paraId="13E177E1" w14:textId="77777777" w:rsidR="00F13FAD" w:rsidRPr="00E45E09" w:rsidRDefault="00F13FAD" w:rsidP="00F13FAD">
      <w:pPr>
        <w:numPr>
          <w:ilvl w:val="1"/>
          <w:numId w:val="21"/>
        </w:numPr>
        <w:spacing w:after="0" w:line="240" w:lineRule="auto"/>
        <w:ind w:left="720"/>
        <w:jc w:val="both"/>
        <w:rPr>
          <w:rFonts w:ascii="Segoe UI" w:eastAsia="Times New Roman" w:hAnsi="Segoe UI" w:cs="Segoe UI"/>
          <w:color w:val="374151"/>
          <w:sz w:val="24"/>
          <w:szCs w:val="24"/>
          <w:lang w:val="en-IN" w:eastAsia="en-IN"/>
        </w:rPr>
      </w:pPr>
      <w:r w:rsidRPr="00E45E09">
        <w:rPr>
          <w:rFonts w:ascii="Segoe UI" w:eastAsia="Times New Roman" w:hAnsi="Segoe UI" w:cs="Segoe UI"/>
          <w:b/>
          <w:bCs/>
          <w:color w:val="374151"/>
          <w:sz w:val="24"/>
          <w:szCs w:val="24"/>
          <w:lang w:val="en-IN" w:eastAsia="en-IN"/>
        </w:rPr>
        <w:t>Hong Kong Stock Exchange (HKEX):</w:t>
      </w:r>
      <w:r w:rsidRPr="00E45E09">
        <w:rPr>
          <w:rFonts w:ascii="Segoe UI" w:eastAsia="Times New Roman" w:hAnsi="Segoe UI" w:cs="Segoe UI"/>
          <w:color w:val="374151"/>
          <w:sz w:val="24"/>
          <w:szCs w:val="24"/>
          <w:lang w:val="en-IN" w:eastAsia="en-IN"/>
        </w:rPr>
        <w:t xml:space="preserve"> Located in Hong Kong, it serves as a major gateway for companies looking to tap into the Asian markets.</w:t>
      </w:r>
    </w:p>
    <w:p w14:paraId="4BC0ACE2" w14:textId="77777777" w:rsidR="00F13FAD" w:rsidRPr="00E45E09" w:rsidRDefault="00F13FAD" w:rsidP="00F13FAD">
      <w:pPr>
        <w:numPr>
          <w:ilvl w:val="1"/>
          <w:numId w:val="21"/>
        </w:numPr>
        <w:spacing w:after="0" w:line="240" w:lineRule="auto"/>
        <w:ind w:left="720"/>
        <w:jc w:val="both"/>
        <w:rPr>
          <w:rFonts w:ascii="Segoe UI" w:eastAsia="Times New Roman" w:hAnsi="Segoe UI" w:cs="Segoe UI"/>
          <w:color w:val="374151"/>
          <w:sz w:val="24"/>
          <w:szCs w:val="24"/>
          <w:lang w:val="en-IN" w:eastAsia="en-IN"/>
        </w:rPr>
      </w:pPr>
      <w:r w:rsidRPr="00E45E09">
        <w:rPr>
          <w:rFonts w:ascii="Segoe UI" w:eastAsia="Times New Roman" w:hAnsi="Segoe UI" w:cs="Segoe UI"/>
          <w:b/>
          <w:bCs/>
          <w:color w:val="374151"/>
          <w:sz w:val="24"/>
          <w:szCs w:val="24"/>
          <w:lang w:val="en-IN" w:eastAsia="en-IN"/>
        </w:rPr>
        <w:t>Tokyo Stock Exchange (TSE):</w:t>
      </w:r>
      <w:r w:rsidRPr="00E45E09">
        <w:rPr>
          <w:rFonts w:ascii="Segoe UI" w:eastAsia="Times New Roman" w:hAnsi="Segoe UI" w:cs="Segoe UI"/>
          <w:color w:val="374151"/>
          <w:sz w:val="24"/>
          <w:szCs w:val="24"/>
          <w:lang w:val="en-IN" w:eastAsia="en-IN"/>
        </w:rPr>
        <w:t xml:space="preserve"> Located in Japan, it is one of Asia's largest and oldest stock exchanges.</w:t>
      </w:r>
    </w:p>
    <w:p w14:paraId="39B53225" w14:textId="77777777" w:rsidR="00F13FAD" w:rsidRPr="00E45E09" w:rsidRDefault="00F13FAD" w:rsidP="00F13FAD">
      <w:pPr>
        <w:numPr>
          <w:ilvl w:val="0"/>
          <w:numId w:val="21"/>
        </w:numPr>
        <w:spacing w:after="0" w:line="240" w:lineRule="auto"/>
        <w:ind w:left="0"/>
        <w:jc w:val="both"/>
        <w:rPr>
          <w:rFonts w:ascii="Segoe UI" w:eastAsia="Times New Roman" w:hAnsi="Segoe UI" w:cs="Segoe UI"/>
          <w:color w:val="374151"/>
          <w:sz w:val="24"/>
          <w:szCs w:val="24"/>
          <w:lang w:val="en-IN" w:eastAsia="en-IN"/>
        </w:rPr>
      </w:pPr>
      <w:r w:rsidRPr="00E45E09">
        <w:rPr>
          <w:rFonts w:ascii="Segoe UI" w:eastAsia="Times New Roman" w:hAnsi="Segoe UI" w:cs="Segoe UI"/>
          <w:color w:val="374151"/>
          <w:sz w:val="24"/>
          <w:szCs w:val="24"/>
          <w:lang w:val="en-IN" w:eastAsia="en-IN"/>
        </w:rPr>
        <w:t>Companies from India and other countries often list their shares on overseas stock exchanges to access a broader pool of investors and expand their global presence.</w:t>
      </w:r>
    </w:p>
    <w:p w14:paraId="77517953" w14:textId="77777777" w:rsidR="00F13FAD" w:rsidRPr="00E45E09" w:rsidRDefault="00F13FAD" w:rsidP="00F13FAD">
      <w:pPr>
        <w:spacing w:before="300" w:after="0" w:line="240" w:lineRule="auto"/>
        <w:jc w:val="both"/>
        <w:rPr>
          <w:rFonts w:ascii="Segoe UI" w:eastAsia="Times New Roman" w:hAnsi="Segoe UI" w:cs="Segoe UI"/>
          <w:color w:val="374151"/>
          <w:sz w:val="24"/>
          <w:szCs w:val="24"/>
          <w:lang w:val="en-IN" w:eastAsia="en-IN"/>
        </w:rPr>
      </w:pPr>
      <w:r w:rsidRPr="00E45E09">
        <w:rPr>
          <w:rFonts w:ascii="Segoe UI" w:eastAsia="Times New Roman" w:hAnsi="Segoe UI" w:cs="Segoe UI"/>
          <w:color w:val="374151"/>
          <w:sz w:val="24"/>
          <w:szCs w:val="24"/>
          <w:lang w:val="en-IN" w:eastAsia="en-IN"/>
        </w:rPr>
        <w:t>Overall, NSE and BSE are the primary stock exchanges in India, catering to a wide range of companies. SME exchanges provide a listing avenue for smaller enterprises, while overseas stock exchanges offer opportunities for global listings and access to international investors.</w:t>
      </w:r>
    </w:p>
    <w:p w14:paraId="0BA854B9" w14:textId="77777777" w:rsidR="00F13FAD" w:rsidRPr="00E45E09" w:rsidRDefault="00F13FAD" w:rsidP="00F13FAD">
      <w:pPr>
        <w:rPr>
          <w:rFonts w:ascii="Times New Roman" w:hAnsi="Times New Roman" w:cs="Times New Roman"/>
          <w:b/>
          <w:sz w:val="28"/>
          <w:szCs w:val="28"/>
          <w:u w:val="single"/>
        </w:rPr>
      </w:pPr>
    </w:p>
    <w:p w14:paraId="53C70284" w14:textId="77777777" w:rsidR="00F13FAD" w:rsidRPr="00BF642B" w:rsidRDefault="00F13FAD" w:rsidP="00F13FAD">
      <w:pPr>
        <w:rPr>
          <w:rFonts w:ascii="Times New Roman" w:hAnsi="Times New Roman" w:cs="Times New Roman"/>
          <w:b/>
          <w:sz w:val="28"/>
          <w:szCs w:val="28"/>
          <w:u w:val="single"/>
        </w:rPr>
      </w:pPr>
      <w:r w:rsidRPr="00BF642B">
        <w:rPr>
          <w:rFonts w:ascii="Times New Roman" w:hAnsi="Times New Roman" w:cs="Times New Roman"/>
          <w:b/>
          <w:sz w:val="28"/>
          <w:szCs w:val="28"/>
          <w:u w:val="single"/>
        </w:rPr>
        <w:t>Role of SEBI</w:t>
      </w:r>
    </w:p>
    <w:p w14:paraId="14B85C78" w14:textId="77777777" w:rsidR="00F13FAD" w:rsidRDefault="00F13FAD" w:rsidP="00F13FAD">
      <w:pPr>
        <w:pStyle w:val="NormalWeb"/>
        <w:spacing w:before="0" w:beforeAutospacing="0" w:after="300" w:afterAutospacing="0"/>
        <w:rPr>
          <w:rFonts w:ascii="Segoe UI" w:hAnsi="Segoe UI" w:cs="Segoe UI"/>
          <w:color w:val="374151"/>
        </w:rPr>
      </w:pPr>
      <w:r>
        <w:rPr>
          <w:rFonts w:ascii="Segoe UI" w:hAnsi="Segoe UI" w:cs="Segoe UI"/>
          <w:color w:val="374151"/>
        </w:rPr>
        <w:t>The Securities and Exchange Board of India (SEBI) plays a crucial role in regulating and overseeing the securities market in India. SEBI was established in 1988 as a statutory regulatory body and received additional powers in 1992 through the SEBI Act. Its primary role and functions include:</w:t>
      </w:r>
    </w:p>
    <w:p w14:paraId="7FC02B40" w14:textId="77777777" w:rsidR="00F13FAD" w:rsidRDefault="00F13FAD" w:rsidP="00F13FAD">
      <w:pPr>
        <w:pStyle w:val="NormalWeb"/>
        <w:numPr>
          <w:ilvl w:val="0"/>
          <w:numId w:val="14"/>
        </w:numPr>
        <w:spacing w:before="0" w:beforeAutospacing="0" w:after="0" w:afterAutospacing="0"/>
        <w:ind w:left="0"/>
        <w:rPr>
          <w:rFonts w:ascii="Segoe UI" w:hAnsi="Segoe UI" w:cs="Segoe UI"/>
          <w:color w:val="374151"/>
        </w:rPr>
      </w:pPr>
      <w:r w:rsidRPr="00D27A57">
        <w:rPr>
          <w:rStyle w:val="Strong"/>
          <w:color w:val="374151"/>
        </w:rPr>
        <w:t>Regulation and Supervision:</w:t>
      </w:r>
      <w:r>
        <w:rPr>
          <w:rFonts w:ascii="Segoe UI" w:hAnsi="Segoe UI" w:cs="Segoe UI"/>
          <w:color w:val="374151"/>
        </w:rPr>
        <w:t xml:space="preserve"> SEBI regulates various segments of the securities market, including stock exchanges, brokers, merchant banks, and mutual funds. It formulates regulations and guidelines to ensure fair and transparent practices in these areas.</w:t>
      </w:r>
    </w:p>
    <w:p w14:paraId="0A483748" w14:textId="77777777" w:rsidR="00F13FAD" w:rsidRDefault="00F13FAD" w:rsidP="00F13FAD">
      <w:pPr>
        <w:pStyle w:val="NormalWeb"/>
        <w:numPr>
          <w:ilvl w:val="0"/>
          <w:numId w:val="14"/>
        </w:numPr>
        <w:spacing w:before="0" w:beforeAutospacing="0" w:after="0" w:afterAutospacing="0"/>
        <w:ind w:left="0"/>
        <w:rPr>
          <w:rFonts w:ascii="Segoe UI" w:hAnsi="Segoe UI" w:cs="Segoe UI"/>
          <w:color w:val="374151"/>
        </w:rPr>
      </w:pPr>
      <w:r w:rsidRPr="00D27A57">
        <w:rPr>
          <w:rStyle w:val="Strong"/>
          <w:color w:val="374151"/>
        </w:rPr>
        <w:t>Investor Protection:</w:t>
      </w:r>
      <w:r>
        <w:rPr>
          <w:rFonts w:ascii="Segoe UI" w:hAnsi="Segoe UI" w:cs="Segoe UI"/>
          <w:color w:val="374151"/>
        </w:rPr>
        <w:t xml:space="preserve"> One of SEBI's main objectives is to protect the interests of investors. It does this by mandating disclosure requirements for listed companies, ensuring fair trading practices, and taking action against fraudulent activities.</w:t>
      </w:r>
    </w:p>
    <w:p w14:paraId="0F7D708B" w14:textId="77777777" w:rsidR="00F13FAD" w:rsidRDefault="00F13FAD" w:rsidP="00F13FAD">
      <w:pPr>
        <w:pStyle w:val="NormalWeb"/>
        <w:numPr>
          <w:ilvl w:val="0"/>
          <w:numId w:val="14"/>
        </w:numPr>
        <w:spacing w:before="0" w:beforeAutospacing="0" w:after="0" w:afterAutospacing="0"/>
        <w:ind w:left="0"/>
        <w:rPr>
          <w:rFonts w:ascii="Segoe UI" w:hAnsi="Segoe UI" w:cs="Segoe UI"/>
          <w:color w:val="374151"/>
        </w:rPr>
      </w:pPr>
      <w:r w:rsidRPr="00D27A57">
        <w:rPr>
          <w:rStyle w:val="Strong"/>
          <w:color w:val="374151"/>
        </w:rPr>
        <w:t>Market Development:</w:t>
      </w:r>
      <w:r>
        <w:rPr>
          <w:rFonts w:ascii="Segoe UI" w:hAnsi="Segoe UI" w:cs="Segoe UI"/>
          <w:color w:val="374151"/>
        </w:rPr>
        <w:t xml:space="preserve"> SEBI plays a significant role in the development of the securities market in India. It introduces reforms and initiatives to promote market efficiency and growth. This includes allowing new financial instruments, introducing electronic trading, and encouraging the participation of institutional and retail investors.</w:t>
      </w:r>
    </w:p>
    <w:p w14:paraId="5A533E7D" w14:textId="77777777" w:rsidR="00F13FAD" w:rsidRDefault="00F13FAD" w:rsidP="00F13FAD">
      <w:pPr>
        <w:pStyle w:val="NormalWeb"/>
        <w:numPr>
          <w:ilvl w:val="0"/>
          <w:numId w:val="14"/>
        </w:numPr>
        <w:spacing w:before="0" w:beforeAutospacing="0" w:after="0" w:afterAutospacing="0"/>
        <w:ind w:left="0"/>
        <w:rPr>
          <w:rFonts w:ascii="Segoe UI" w:hAnsi="Segoe UI" w:cs="Segoe UI"/>
          <w:color w:val="374151"/>
        </w:rPr>
      </w:pPr>
      <w:r w:rsidRPr="00D27A57">
        <w:rPr>
          <w:rStyle w:val="Strong"/>
          <w:color w:val="374151"/>
        </w:rPr>
        <w:t>Regulating Insider Trading:</w:t>
      </w:r>
      <w:r>
        <w:rPr>
          <w:rFonts w:ascii="Segoe UI" w:hAnsi="Segoe UI" w:cs="Segoe UI"/>
          <w:color w:val="374151"/>
        </w:rPr>
        <w:t xml:space="preserve"> SEBI enforces regulations related to insider trading to prevent individuals with access to non-public information from taking advantage of their position to make illegal gains in the securities market.</w:t>
      </w:r>
    </w:p>
    <w:p w14:paraId="469131E1" w14:textId="77777777" w:rsidR="00F13FAD" w:rsidRDefault="00F13FAD" w:rsidP="00F13FAD">
      <w:pPr>
        <w:pStyle w:val="NormalWeb"/>
        <w:numPr>
          <w:ilvl w:val="0"/>
          <w:numId w:val="14"/>
        </w:numPr>
        <w:spacing w:before="0" w:beforeAutospacing="0" w:after="0" w:afterAutospacing="0"/>
        <w:ind w:left="0"/>
        <w:rPr>
          <w:rFonts w:ascii="Segoe UI" w:hAnsi="Segoe UI" w:cs="Segoe UI"/>
          <w:color w:val="374151"/>
        </w:rPr>
      </w:pPr>
      <w:r w:rsidRPr="00D27A57">
        <w:rPr>
          <w:rStyle w:val="Strong"/>
          <w:color w:val="374151"/>
        </w:rPr>
        <w:t>Monitoring and Surveillance:</w:t>
      </w:r>
      <w:r>
        <w:rPr>
          <w:rFonts w:ascii="Segoe UI" w:hAnsi="Segoe UI" w:cs="Segoe UI"/>
          <w:color w:val="374151"/>
        </w:rPr>
        <w:t xml:space="preserve"> SEBI maintains a robust surveillance system to monitor market activities and detect irregularities. It investigates and takes enforcement actions against market manipulation and fraud.</w:t>
      </w:r>
    </w:p>
    <w:p w14:paraId="4B3350DD" w14:textId="77777777" w:rsidR="00F13FAD" w:rsidRDefault="00F13FAD" w:rsidP="00F13FAD">
      <w:pPr>
        <w:pStyle w:val="NormalWeb"/>
        <w:numPr>
          <w:ilvl w:val="0"/>
          <w:numId w:val="14"/>
        </w:numPr>
        <w:spacing w:before="0" w:beforeAutospacing="0" w:after="0" w:afterAutospacing="0"/>
        <w:ind w:left="0"/>
        <w:rPr>
          <w:rFonts w:ascii="Segoe UI" w:hAnsi="Segoe UI" w:cs="Segoe UI"/>
          <w:color w:val="374151"/>
        </w:rPr>
      </w:pPr>
      <w:r w:rsidRPr="00D27A57">
        <w:rPr>
          <w:rStyle w:val="Strong"/>
          <w:color w:val="374151"/>
        </w:rPr>
        <w:t>Regulating Stock Exchanges:</w:t>
      </w:r>
      <w:r>
        <w:rPr>
          <w:rFonts w:ascii="Segoe UI" w:hAnsi="Segoe UI" w:cs="Segoe UI"/>
          <w:color w:val="374151"/>
        </w:rPr>
        <w:t xml:space="preserve"> SEBI regulates stock exchanges to ensure their fair and transparent functioning. It sets rules and regulations for stock exchange operations, trading mechanisms, and listing requirements.</w:t>
      </w:r>
    </w:p>
    <w:p w14:paraId="0AB21D1C" w14:textId="77777777" w:rsidR="00F13FAD" w:rsidRDefault="00F13FAD" w:rsidP="00F13FAD">
      <w:pPr>
        <w:pStyle w:val="NormalWeb"/>
        <w:numPr>
          <w:ilvl w:val="0"/>
          <w:numId w:val="14"/>
        </w:numPr>
        <w:spacing w:before="0" w:beforeAutospacing="0" w:after="0" w:afterAutospacing="0"/>
        <w:ind w:left="0"/>
        <w:rPr>
          <w:rFonts w:ascii="Segoe UI" w:hAnsi="Segoe UI" w:cs="Segoe UI"/>
          <w:color w:val="374151"/>
        </w:rPr>
      </w:pPr>
      <w:r w:rsidRPr="00D27A57">
        <w:rPr>
          <w:rStyle w:val="Strong"/>
          <w:color w:val="374151"/>
        </w:rPr>
        <w:t>Regulating Market Intermediaries:</w:t>
      </w:r>
      <w:r>
        <w:rPr>
          <w:rFonts w:ascii="Segoe UI" w:hAnsi="Segoe UI" w:cs="Segoe UI"/>
          <w:color w:val="374151"/>
        </w:rPr>
        <w:t xml:space="preserve"> SEBI oversees market intermediaries such as stockbrokers, sub-brokers, and merchant bankers to ensure compliance with regulations and ethical standards.</w:t>
      </w:r>
    </w:p>
    <w:p w14:paraId="6E136115" w14:textId="77777777" w:rsidR="00F13FAD" w:rsidRDefault="00F13FAD" w:rsidP="00F13FAD">
      <w:pPr>
        <w:pStyle w:val="NormalWeb"/>
        <w:numPr>
          <w:ilvl w:val="0"/>
          <w:numId w:val="14"/>
        </w:numPr>
        <w:spacing w:before="0" w:beforeAutospacing="0" w:after="0" w:afterAutospacing="0"/>
        <w:ind w:left="0"/>
        <w:rPr>
          <w:rFonts w:ascii="Segoe UI" w:hAnsi="Segoe UI" w:cs="Segoe UI"/>
          <w:color w:val="374151"/>
        </w:rPr>
      </w:pPr>
      <w:r w:rsidRPr="00D27A57">
        <w:rPr>
          <w:rStyle w:val="Strong"/>
          <w:color w:val="374151"/>
        </w:rPr>
        <w:t>Promoting Investor Education:</w:t>
      </w:r>
      <w:r>
        <w:rPr>
          <w:rFonts w:ascii="Segoe UI" w:hAnsi="Segoe UI" w:cs="Segoe UI"/>
          <w:color w:val="374151"/>
        </w:rPr>
        <w:t xml:space="preserve"> SEBI conducts investor awareness programs and educates investors about the risks and opportunities in the securities market. It aims to make investors more informed and responsible.</w:t>
      </w:r>
    </w:p>
    <w:p w14:paraId="78805F62" w14:textId="77777777" w:rsidR="00F13FAD" w:rsidRDefault="00F13FAD" w:rsidP="00F13FAD">
      <w:pPr>
        <w:pStyle w:val="NormalWeb"/>
        <w:numPr>
          <w:ilvl w:val="0"/>
          <w:numId w:val="14"/>
        </w:numPr>
        <w:spacing w:before="0" w:beforeAutospacing="0" w:after="0" w:afterAutospacing="0"/>
        <w:ind w:left="0"/>
        <w:rPr>
          <w:rFonts w:ascii="Segoe UI" w:hAnsi="Segoe UI" w:cs="Segoe UI"/>
          <w:color w:val="374151"/>
        </w:rPr>
      </w:pPr>
      <w:r w:rsidRPr="00D27A57">
        <w:rPr>
          <w:rStyle w:val="Strong"/>
          <w:color w:val="374151"/>
        </w:rPr>
        <w:t>Regulating Mutual Funds:</w:t>
      </w:r>
      <w:r>
        <w:rPr>
          <w:rFonts w:ascii="Segoe UI" w:hAnsi="Segoe UI" w:cs="Segoe UI"/>
          <w:color w:val="374151"/>
        </w:rPr>
        <w:t xml:space="preserve"> SEBI regulates and monitors mutual funds, ensuring that they adhere to investment guidelines and provide accurate information to investors.</w:t>
      </w:r>
    </w:p>
    <w:p w14:paraId="6FD81D12" w14:textId="77777777" w:rsidR="00F13FAD" w:rsidRDefault="00F13FAD" w:rsidP="00F13FAD">
      <w:pPr>
        <w:pStyle w:val="NormalWeb"/>
        <w:numPr>
          <w:ilvl w:val="0"/>
          <w:numId w:val="14"/>
        </w:numPr>
        <w:spacing w:before="0" w:beforeAutospacing="0" w:after="0" w:afterAutospacing="0"/>
        <w:ind w:left="0"/>
        <w:rPr>
          <w:rFonts w:ascii="Segoe UI" w:hAnsi="Segoe UI" w:cs="Segoe UI"/>
          <w:color w:val="374151"/>
        </w:rPr>
      </w:pPr>
      <w:r w:rsidRPr="00D27A57">
        <w:rPr>
          <w:rStyle w:val="Strong"/>
          <w:color w:val="374151"/>
        </w:rPr>
        <w:t>Takeover Regulations:</w:t>
      </w:r>
      <w:r>
        <w:rPr>
          <w:rFonts w:ascii="Segoe UI" w:hAnsi="Segoe UI" w:cs="Segoe UI"/>
          <w:color w:val="374151"/>
        </w:rPr>
        <w:t xml:space="preserve"> SEBI formulates and enforces regulations related to the acquisition and takeover of listed companies to safeguard the interests of shareholders.</w:t>
      </w:r>
    </w:p>
    <w:p w14:paraId="50E04016" w14:textId="77777777" w:rsidR="00F13FAD" w:rsidRDefault="00F13FAD" w:rsidP="00F13FAD">
      <w:pPr>
        <w:pStyle w:val="NormalWeb"/>
        <w:numPr>
          <w:ilvl w:val="0"/>
          <w:numId w:val="14"/>
        </w:numPr>
        <w:spacing w:before="0" w:beforeAutospacing="0" w:after="0" w:afterAutospacing="0"/>
        <w:ind w:left="0"/>
        <w:rPr>
          <w:rFonts w:ascii="Segoe UI" w:hAnsi="Segoe UI" w:cs="Segoe UI"/>
          <w:color w:val="374151"/>
        </w:rPr>
      </w:pPr>
      <w:r w:rsidRPr="00D27A57">
        <w:rPr>
          <w:rStyle w:val="Strong"/>
          <w:color w:val="374151"/>
        </w:rPr>
        <w:t>Corporate Governance:</w:t>
      </w:r>
      <w:r>
        <w:rPr>
          <w:rFonts w:ascii="Segoe UI" w:hAnsi="Segoe UI" w:cs="Segoe UI"/>
          <w:color w:val="374151"/>
        </w:rPr>
        <w:t xml:space="preserve"> SEBI has introduced corporate governance norms for listed companies to enhance transparency and accountability in corporate management.</w:t>
      </w:r>
    </w:p>
    <w:p w14:paraId="46077245" w14:textId="77777777" w:rsidR="00F13FAD" w:rsidRDefault="00F13FAD" w:rsidP="00F13FAD">
      <w:pPr>
        <w:pStyle w:val="NormalWeb"/>
        <w:numPr>
          <w:ilvl w:val="0"/>
          <w:numId w:val="14"/>
        </w:numPr>
        <w:spacing w:before="0" w:beforeAutospacing="0" w:after="0" w:afterAutospacing="0"/>
        <w:ind w:left="0"/>
        <w:rPr>
          <w:rFonts w:ascii="Segoe UI" w:hAnsi="Segoe UI" w:cs="Segoe UI"/>
          <w:color w:val="374151"/>
        </w:rPr>
      </w:pPr>
      <w:r w:rsidRPr="00D27A57">
        <w:rPr>
          <w:rStyle w:val="Strong"/>
          <w:color w:val="374151"/>
        </w:rPr>
        <w:t>Enforcement of Securities Laws:</w:t>
      </w:r>
      <w:r>
        <w:rPr>
          <w:rFonts w:ascii="Segoe UI" w:hAnsi="Segoe UI" w:cs="Segoe UI"/>
          <w:color w:val="374151"/>
        </w:rPr>
        <w:t xml:space="preserve"> SEBI has the authority to take legal actions against individuals and entities that violate securities laws, including imposing fines, suspending trading, or even referring cases to law enforcement agencies.</w:t>
      </w:r>
    </w:p>
    <w:p w14:paraId="26B79896" w14:textId="77777777" w:rsidR="00F13FAD" w:rsidRDefault="00F13FAD" w:rsidP="00F13FAD">
      <w:pPr>
        <w:pStyle w:val="NormalWeb"/>
        <w:spacing w:before="300" w:beforeAutospacing="0" w:after="0" w:afterAutospacing="0"/>
        <w:rPr>
          <w:rFonts w:ascii="Segoe UI" w:hAnsi="Segoe UI" w:cs="Segoe UI"/>
          <w:color w:val="374151"/>
        </w:rPr>
      </w:pPr>
      <w:r>
        <w:rPr>
          <w:rFonts w:ascii="Segoe UI" w:hAnsi="Segoe UI" w:cs="Segoe UI"/>
          <w:color w:val="374151"/>
        </w:rPr>
        <w:t>Overall, SEBI's role is vital in maintaining the integrity and stability of India's securities market, protecting the interests of investors, and fostering its growth and development. Its activities contribute to creating a more transparent, fair, and efficient financial ecosystem in the country</w:t>
      </w:r>
    </w:p>
    <w:p w14:paraId="6C656BF6" w14:textId="77777777" w:rsidR="00F13FAD" w:rsidRDefault="00F13FAD" w:rsidP="00F13FAD"/>
    <w:p w14:paraId="09EBA26C" w14:textId="77777777" w:rsidR="00F13FAD" w:rsidRPr="00BF642B" w:rsidRDefault="00F13FAD" w:rsidP="00F13FAD">
      <w:pPr>
        <w:rPr>
          <w:rFonts w:ascii="Times New Roman" w:hAnsi="Times New Roman" w:cs="Times New Roman"/>
          <w:b/>
          <w:sz w:val="28"/>
          <w:szCs w:val="28"/>
          <w:u w:val="single"/>
        </w:rPr>
      </w:pPr>
      <w:r w:rsidRPr="00BF642B">
        <w:rPr>
          <w:rFonts w:ascii="Times New Roman" w:hAnsi="Times New Roman" w:cs="Times New Roman"/>
          <w:b/>
          <w:sz w:val="28"/>
          <w:szCs w:val="28"/>
          <w:u w:val="single"/>
        </w:rPr>
        <w:t>Recent Development in Stock Exchanges</w:t>
      </w:r>
    </w:p>
    <w:p w14:paraId="2FC2CBFF" w14:textId="77777777" w:rsidR="00F13FAD" w:rsidRDefault="00F13FAD" w:rsidP="00F13FAD">
      <w:pPr>
        <w:pStyle w:val="NormalWeb"/>
        <w:numPr>
          <w:ilvl w:val="0"/>
          <w:numId w:val="15"/>
        </w:numPr>
        <w:spacing w:before="0" w:beforeAutospacing="0" w:after="0" w:afterAutospacing="0"/>
        <w:ind w:left="0"/>
        <w:rPr>
          <w:rFonts w:ascii="Segoe UI" w:hAnsi="Segoe UI" w:cs="Segoe UI"/>
          <w:color w:val="374151"/>
        </w:rPr>
      </w:pPr>
      <w:r w:rsidRPr="00290DA7">
        <w:rPr>
          <w:rStyle w:val="Strong"/>
          <w:color w:val="374151"/>
        </w:rPr>
        <w:t>Digitization and Technology Advancements:</w:t>
      </w:r>
      <w:r>
        <w:rPr>
          <w:rFonts w:ascii="Segoe UI" w:hAnsi="Segoe UI" w:cs="Segoe UI"/>
          <w:color w:val="374151"/>
        </w:rPr>
        <w:t xml:space="preserve"> Indian stock exchanges, like BSE (Bombay Stock Exchange) and NSE (National Stock Exchange), have continued to invest in technology to enhance trading infrastructure. The introduction of high-frequency trading, co-location facilities, and improved trading platforms has facilitated faster and more efficient trading.</w:t>
      </w:r>
    </w:p>
    <w:p w14:paraId="5F18C968" w14:textId="77777777" w:rsidR="00F13FAD" w:rsidRDefault="00F13FAD" w:rsidP="00F13FAD">
      <w:pPr>
        <w:pStyle w:val="NormalWeb"/>
        <w:numPr>
          <w:ilvl w:val="0"/>
          <w:numId w:val="15"/>
        </w:numPr>
        <w:spacing w:before="0" w:beforeAutospacing="0" w:after="0" w:afterAutospacing="0"/>
        <w:ind w:left="0"/>
        <w:rPr>
          <w:rFonts w:ascii="Segoe UI" w:hAnsi="Segoe UI" w:cs="Segoe UI"/>
          <w:color w:val="374151"/>
        </w:rPr>
      </w:pPr>
      <w:r w:rsidRPr="00290DA7">
        <w:rPr>
          <w:rStyle w:val="Strong"/>
          <w:color w:val="374151"/>
        </w:rPr>
        <w:t>Listing of New Companies:</w:t>
      </w:r>
      <w:r>
        <w:rPr>
          <w:rFonts w:ascii="Segoe UI" w:hAnsi="Segoe UI" w:cs="Segoe UI"/>
          <w:color w:val="374151"/>
        </w:rPr>
        <w:t xml:space="preserve"> New companies have been listing on Indian stock exchanges, reflecting the growth of the Indian economy and the attractiveness of the capital market. Start-ups and tech companies, in particular, have shown interest in listing.</w:t>
      </w:r>
    </w:p>
    <w:p w14:paraId="54F37777" w14:textId="77777777" w:rsidR="00F13FAD" w:rsidRDefault="00F13FAD" w:rsidP="00F13FAD">
      <w:pPr>
        <w:pStyle w:val="NormalWeb"/>
        <w:numPr>
          <w:ilvl w:val="0"/>
          <w:numId w:val="15"/>
        </w:numPr>
        <w:spacing w:before="0" w:beforeAutospacing="0" w:after="0" w:afterAutospacing="0"/>
        <w:ind w:left="0"/>
        <w:rPr>
          <w:rFonts w:ascii="Segoe UI" w:hAnsi="Segoe UI" w:cs="Segoe UI"/>
          <w:color w:val="374151"/>
        </w:rPr>
      </w:pPr>
      <w:r w:rsidRPr="00290DA7">
        <w:rPr>
          <w:rStyle w:val="Strong"/>
          <w:color w:val="374151"/>
        </w:rPr>
        <w:t>Increased Retail Participation:</w:t>
      </w:r>
      <w:r>
        <w:rPr>
          <w:rFonts w:ascii="Segoe UI" w:hAnsi="Segoe UI" w:cs="Segoe UI"/>
          <w:color w:val="374151"/>
        </w:rPr>
        <w:t xml:space="preserve"> The Indian stock market has seen increased participation from retail investors, partly due to the ease of online trading and the availability of mobile trading apps. This trend has been accelerated by the democratization of investing through platforms like mutual funds and systematic investment plans (SIPs).</w:t>
      </w:r>
    </w:p>
    <w:p w14:paraId="1B3B0486" w14:textId="77777777" w:rsidR="00F13FAD" w:rsidRDefault="00F13FAD" w:rsidP="00F13FAD">
      <w:pPr>
        <w:pStyle w:val="NormalWeb"/>
        <w:numPr>
          <w:ilvl w:val="0"/>
          <w:numId w:val="15"/>
        </w:numPr>
        <w:spacing w:before="0" w:beforeAutospacing="0" w:after="0" w:afterAutospacing="0"/>
        <w:ind w:left="0"/>
        <w:rPr>
          <w:rFonts w:ascii="Segoe UI" w:hAnsi="Segoe UI" w:cs="Segoe UI"/>
          <w:color w:val="374151"/>
        </w:rPr>
      </w:pPr>
      <w:r w:rsidRPr="00290DA7">
        <w:rPr>
          <w:rStyle w:val="Strong"/>
          <w:color w:val="374151"/>
        </w:rPr>
        <w:t>Market Reforms:</w:t>
      </w:r>
      <w:r>
        <w:rPr>
          <w:rFonts w:ascii="Segoe UI" w:hAnsi="Segoe UI" w:cs="Segoe UI"/>
          <w:color w:val="374151"/>
        </w:rPr>
        <w:t xml:space="preserve"> Regulatory changes and reforms have aimed to improve transparency and corporate governance. Initiatives like mandatory corporate social responsibility (CSR) spending, enhanced disclosure requirements, and changes in delisting regulations have been implemented to protect investor interests.</w:t>
      </w:r>
    </w:p>
    <w:p w14:paraId="4229388F" w14:textId="77777777" w:rsidR="00F13FAD" w:rsidRDefault="00F13FAD" w:rsidP="00F13FAD">
      <w:pPr>
        <w:pStyle w:val="NormalWeb"/>
        <w:numPr>
          <w:ilvl w:val="0"/>
          <w:numId w:val="15"/>
        </w:numPr>
        <w:spacing w:before="0" w:beforeAutospacing="0" w:after="0" w:afterAutospacing="0"/>
        <w:ind w:left="0"/>
        <w:rPr>
          <w:rFonts w:ascii="Segoe UI" w:hAnsi="Segoe UI" w:cs="Segoe UI"/>
          <w:color w:val="374151"/>
        </w:rPr>
      </w:pPr>
      <w:r w:rsidRPr="00290DA7">
        <w:rPr>
          <w:rStyle w:val="Strong"/>
          <w:color w:val="374151"/>
        </w:rPr>
        <w:t>Derivatives Market Growth:</w:t>
      </w:r>
      <w:r>
        <w:rPr>
          <w:rFonts w:ascii="Segoe UI" w:hAnsi="Segoe UI" w:cs="Segoe UI"/>
          <w:color w:val="374151"/>
        </w:rPr>
        <w:t xml:space="preserve"> The derivatives market, including futures and options trading, has continued to grow. Stock exchanges have introduced new products and derivatives on various indices and stocks, attracting traders and hedgers.</w:t>
      </w:r>
    </w:p>
    <w:p w14:paraId="426BA269" w14:textId="77777777" w:rsidR="00F13FAD" w:rsidRDefault="00F13FAD" w:rsidP="00F13FAD">
      <w:pPr>
        <w:pStyle w:val="NormalWeb"/>
        <w:numPr>
          <w:ilvl w:val="0"/>
          <w:numId w:val="15"/>
        </w:numPr>
        <w:spacing w:before="0" w:beforeAutospacing="0" w:after="0" w:afterAutospacing="0"/>
        <w:ind w:left="0"/>
        <w:rPr>
          <w:rFonts w:ascii="Segoe UI" w:hAnsi="Segoe UI" w:cs="Segoe UI"/>
          <w:color w:val="374151"/>
        </w:rPr>
      </w:pPr>
      <w:r w:rsidRPr="00290DA7">
        <w:rPr>
          <w:rStyle w:val="Strong"/>
          <w:color w:val="374151"/>
        </w:rPr>
        <w:t>Market Volatility:</w:t>
      </w:r>
      <w:r>
        <w:rPr>
          <w:rFonts w:ascii="Segoe UI" w:hAnsi="Segoe UI" w:cs="Segoe UI"/>
          <w:color w:val="374151"/>
        </w:rPr>
        <w:t xml:space="preserve"> Periodic bouts of market volatility, driven by both domestic and global factors, have been observed. Stock exchanges have had to implement circuit breakers and other measures to manage extreme price movements.</w:t>
      </w:r>
    </w:p>
    <w:p w14:paraId="36427587" w14:textId="77777777" w:rsidR="00F13FAD" w:rsidRDefault="00F13FAD" w:rsidP="00F13FAD">
      <w:pPr>
        <w:pStyle w:val="NormalWeb"/>
        <w:numPr>
          <w:ilvl w:val="0"/>
          <w:numId w:val="15"/>
        </w:numPr>
        <w:spacing w:before="0" w:beforeAutospacing="0" w:after="0" w:afterAutospacing="0"/>
        <w:ind w:left="0"/>
        <w:rPr>
          <w:rFonts w:ascii="Segoe UI" w:hAnsi="Segoe UI" w:cs="Segoe UI"/>
          <w:color w:val="374151"/>
        </w:rPr>
      </w:pPr>
      <w:r w:rsidRPr="00290DA7">
        <w:rPr>
          <w:rStyle w:val="Strong"/>
          <w:color w:val="374151"/>
        </w:rPr>
        <w:t>Integration with International Markets:</w:t>
      </w:r>
      <w:r>
        <w:rPr>
          <w:rFonts w:ascii="Segoe UI" w:hAnsi="Segoe UI" w:cs="Segoe UI"/>
          <w:color w:val="374151"/>
        </w:rPr>
        <w:t xml:space="preserve"> Indian stock exchanges have explored partnerships and collaborations with international exchanges to facilitate cross-border investments and trading opportunities.</w:t>
      </w:r>
    </w:p>
    <w:p w14:paraId="2EA39EA6" w14:textId="77777777" w:rsidR="00F13FAD" w:rsidRDefault="00F13FAD" w:rsidP="00F13FAD">
      <w:pPr>
        <w:pStyle w:val="NormalWeb"/>
        <w:numPr>
          <w:ilvl w:val="0"/>
          <w:numId w:val="15"/>
        </w:numPr>
        <w:spacing w:before="0" w:beforeAutospacing="0" w:after="0" w:afterAutospacing="0"/>
        <w:ind w:left="0"/>
        <w:rPr>
          <w:rFonts w:ascii="Segoe UI" w:hAnsi="Segoe UI" w:cs="Segoe UI"/>
          <w:color w:val="374151"/>
        </w:rPr>
      </w:pPr>
      <w:r w:rsidRPr="00290DA7">
        <w:rPr>
          <w:rStyle w:val="Strong"/>
          <w:color w:val="374151"/>
        </w:rPr>
        <w:t>Sustainability Initiatives:</w:t>
      </w:r>
      <w:r>
        <w:rPr>
          <w:rFonts w:ascii="Segoe UI" w:hAnsi="Segoe UI" w:cs="Segoe UI"/>
          <w:color w:val="374151"/>
        </w:rPr>
        <w:t xml:space="preserve"> Stock exchanges have taken steps to promote sustainable investing and ESG (Environmental, Social, and Governance) disclosures. They have encouraged listed companies to disclose ESG-related information and launched ESG indices.</w:t>
      </w:r>
    </w:p>
    <w:p w14:paraId="560A21A4" w14:textId="77777777" w:rsidR="00F13FAD" w:rsidRDefault="00F13FAD" w:rsidP="00F13FAD">
      <w:pPr>
        <w:pStyle w:val="NormalWeb"/>
        <w:numPr>
          <w:ilvl w:val="0"/>
          <w:numId w:val="15"/>
        </w:numPr>
        <w:spacing w:before="0" w:beforeAutospacing="0" w:after="0" w:afterAutospacing="0"/>
        <w:ind w:left="0"/>
        <w:rPr>
          <w:rFonts w:ascii="Segoe UI" w:hAnsi="Segoe UI" w:cs="Segoe UI"/>
          <w:color w:val="374151"/>
        </w:rPr>
      </w:pPr>
      <w:r w:rsidRPr="00290DA7">
        <w:rPr>
          <w:rStyle w:val="Strong"/>
          <w:color w:val="374151"/>
        </w:rPr>
        <w:t>Regulatory Changes:</w:t>
      </w:r>
      <w:r>
        <w:rPr>
          <w:rFonts w:ascii="Segoe UI" w:hAnsi="Segoe UI" w:cs="Segoe UI"/>
          <w:color w:val="374151"/>
        </w:rPr>
        <w:t xml:space="preserve"> SEBI, the regulator for the Indian securities market, has continued to introduce regulatory changes aimed at strengthening market integrity and investor protection. These changes have encompassed areas like mutual funds, alternative investment funds (AIFs), and portfolio managers.</w:t>
      </w:r>
    </w:p>
    <w:p w14:paraId="5DB97A86" w14:textId="77777777" w:rsidR="00F13FAD" w:rsidRDefault="00F13FAD" w:rsidP="00F13FAD"/>
    <w:p w14:paraId="2F9E60BD" w14:textId="77777777" w:rsidR="00F13FAD" w:rsidRPr="00BF642B" w:rsidRDefault="00F13FAD" w:rsidP="00F13FAD">
      <w:pPr>
        <w:rPr>
          <w:rFonts w:ascii="Times New Roman" w:hAnsi="Times New Roman" w:cs="Times New Roman"/>
          <w:b/>
          <w:sz w:val="28"/>
          <w:szCs w:val="28"/>
          <w:u w:val="single"/>
        </w:rPr>
      </w:pPr>
      <w:r w:rsidRPr="00BF642B">
        <w:rPr>
          <w:rFonts w:ascii="Times New Roman" w:hAnsi="Times New Roman" w:cs="Times New Roman"/>
          <w:b/>
          <w:sz w:val="28"/>
          <w:szCs w:val="28"/>
          <w:u w:val="single"/>
        </w:rPr>
        <w:t>Stock Market Indices</w:t>
      </w:r>
    </w:p>
    <w:p w14:paraId="69F20860" w14:textId="77777777" w:rsidR="00F13FAD" w:rsidRDefault="00F13FAD" w:rsidP="00F13FAD">
      <w:pPr>
        <w:pStyle w:val="NormalWeb"/>
        <w:spacing w:before="0" w:beforeAutospacing="0" w:after="300" w:afterAutospacing="0"/>
        <w:rPr>
          <w:rFonts w:ascii="Segoe UI" w:hAnsi="Segoe UI" w:cs="Segoe UI"/>
          <w:color w:val="374151"/>
        </w:rPr>
      </w:pPr>
      <w:r>
        <w:rPr>
          <w:rFonts w:ascii="Segoe UI" w:hAnsi="Segoe UI" w:cs="Segoe UI"/>
          <w:color w:val="374151"/>
        </w:rPr>
        <w:t>The Indian stock market features several key stock market indices that serve as benchmarks for different segments of the market. Here are some of the most prominent Indian stock market indices:</w:t>
      </w:r>
    </w:p>
    <w:p w14:paraId="0538434A" w14:textId="77777777" w:rsidR="00F13FAD" w:rsidRDefault="00F13FAD" w:rsidP="00F13FAD">
      <w:pPr>
        <w:pStyle w:val="NormalWeb"/>
        <w:numPr>
          <w:ilvl w:val="0"/>
          <w:numId w:val="16"/>
        </w:numPr>
        <w:spacing w:before="0" w:beforeAutospacing="0" w:after="0" w:afterAutospacing="0"/>
        <w:ind w:left="0"/>
        <w:rPr>
          <w:rFonts w:ascii="Segoe UI" w:hAnsi="Segoe UI" w:cs="Segoe UI"/>
          <w:color w:val="374151"/>
        </w:rPr>
      </w:pPr>
      <w:r w:rsidRPr="00EE484E">
        <w:rPr>
          <w:rStyle w:val="Strong"/>
          <w:color w:val="374151"/>
        </w:rPr>
        <w:t>BSE Sensex (Sensex):</w:t>
      </w:r>
      <w:r>
        <w:rPr>
          <w:rFonts w:ascii="Segoe UI" w:hAnsi="Segoe UI" w:cs="Segoe UI"/>
          <w:color w:val="374151"/>
        </w:rPr>
        <w:t xml:space="preserve"> The BSE Sensex, often simply referred to as the Sensex, is one of the most well-known stock market indices in India. It tracks the performance of the 30 largest and most actively traded companies listed on the Bombay Stock Exchange (BSE). These companies represent various sectors of the Indian economy.</w:t>
      </w:r>
    </w:p>
    <w:p w14:paraId="5A7A1D63" w14:textId="77777777" w:rsidR="00F13FAD" w:rsidRDefault="00F13FAD" w:rsidP="00F13FAD">
      <w:pPr>
        <w:pStyle w:val="NormalWeb"/>
        <w:numPr>
          <w:ilvl w:val="0"/>
          <w:numId w:val="16"/>
        </w:numPr>
        <w:spacing w:before="0" w:beforeAutospacing="0" w:after="0" w:afterAutospacing="0"/>
        <w:ind w:left="0"/>
        <w:rPr>
          <w:rFonts w:ascii="Segoe UI" w:hAnsi="Segoe UI" w:cs="Segoe UI"/>
          <w:color w:val="374151"/>
        </w:rPr>
      </w:pPr>
      <w:r w:rsidRPr="00EE484E">
        <w:rPr>
          <w:rStyle w:val="Strong"/>
          <w:color w:val="374151"/>
        </w:rPr>
        <w:t>Nifty 50:</w:t>
      </w:r>
      <w:r>
        <w:rPr>
          <w:rFonts w:ascii="Segoe UI" w:hAnsi="Segoe UI" w:cs="Segoe UI"/>
          <w:color w:val="374151"/>
        </w:rPr>
        <w:t xml:space="preserve"> The Nifty 50 is another major stock market index in India. It represents the performance of the 50 largest and most liquid companies listed on the National Stock Exchange (NSE). The Nifty 50 is widely used by investors and traders as a benchmark for the Indian equity market.</w:t>
      </w:r>
    </w:p>
    <w:p w14:paraId="19C63EF3" w14:textId="77777777" w:rsidR="00F13FAD" w:rsidRDefault="00F13FAD" w:rsidP="00F13FAD">
      <w:pPr>
        <w:pStyle w:val="NormalWeb"/>
        <w:numPr>
          <w:ilvl w:val="0"/>
          <w:numId w:val="16"/>
        </w:numPr>
        <w:spacing w:before="0" w:beforeAutospacing="0" w:after="0" w:afterAutospacing="0"/>
        <w:ind w:left="0"/>
        <w:rPr>
          <w:rFonts w:ascii="Segoe UI" w:hAnsi="Segoe UI" w:cs="Segoe UI"/>
          <w:color w:val="374151"/>
        </w:rPr>
      </w:pPr>
      <w:r w:rsidRPr="00EE484E">
        <w:rPr>
          <w:rStyle w:val="Strong"/>
          <w:color w:val="374151"/>
        </w:rPr>
        <w:t>BSE 100:</w:t>
      </w:r>
      <w:r>
        <w:rPr>
          <w:rFonts w:ascii="Segoe UI" w:hAnsi="Segoe UI" w:cs="Segoe UI"/>
          <w:color w:val="374151"/>
        </w:rPr>
        <w:t xml:space="preserve"> The BSE 100 Index includes the top 100 companies listed on the Bombay Stock Exchange (BSE), covering a broader spectrum of the Indian stock market than the Sensex.</w:t>
      </w:r>
    </w:p>
    <w:p w14:paraId="6569BDE7" w14:textId="77777777" w:rsidR="00F13FAD" w:rsidRDefault="00F13FAD" w:rsidP="00F13FAD">
      <w:pPr>
        <w:pStyle w:val="NormalWeb"/>
        <w:numPr>
          <w:ilvl w:val="0"/>
          <w:numId w:val="16"/>
        </w:numPr>
        <w:spacing w:before="0" w:beforeAutospacing="0" w:after="0" w:afterAutospacing="0"/>
        <w:ind w:left="0"/>
        <w:rPr>
          <w:rFonts w:ascii="Segoe UI" w:hAnsi="Segoe UI" w:cs="Segoe UI"/>
          <w:color w:val="374151"/>
        </w:rPr>
      </w:pPr>
      <w:r w:rsidRPr="00EE484E">
        <w:rPr>
          <w:rStyle w:val="Strong"/>
          <w:color w:val="374151"/>
        </w:rPr>
        <w:t>Nifty Bank:</w:t>
      </w:r>
      <w:r>
        <w:rPr>
          <w:rFonts w:ascii="Segoe UI" w:hAnsi="Segoe UI" w:cs="Segoe UI"/>
          <w:color w:val="374151"/>
        </w:rPr>
        <w:t xml:space="preserve"> This index tracks the performance of the banking sector in India and includes the major banks and financial institutions listed on the NSE.</w:t>
      </w:r>
    </w:p>
    <w:p w14:paraId="24A727A7" w14:textId="77777777" w:rsidR="00F13FAD" w:rsidRDefault="00F13FAD" w:rsidP="00F13FAD">
      <w:pPr>
        <w:pStyle w:val="NormalWeb"/>
        <w:numPr>
          <w:ilvl w:val="0"/>
          <w:numId w:val="16"/>
        </w:numPr>
        <w:spacing w:before="0" w:beforeAutospacing="0" w:after="0" w:afterAutospacing="0"/>
        <w:ind w:left="0"/>
        <w:rPr>
          <w:rFonts w:ascii="Segoe UI" w:hAnsi="Segoe UI" w:cs="Segoe UI"/>
          <w:color w:val="374151"/>
        </w:rPr>
      </w:pPr>
      <w:r w:rsidRPr="00EE484E">
        <w:rPr>
          <w:rStyle w:val="Strong"/>
          <w:color w:val="374151"/>
        </w:rPr>
        <w:t>Nifty IT:</w:t>
      </w:r>
      <w:r>
        <w:rPr>
          <w:rFonts w:ascii="Segoe UI" w:hAnsi="Segoe UI" w:cs="Segoe UI"/>
          <w:color w:val="374151"/>
        </w:rPr>
        <w:t xml:space="preserve"> The Nifty IT Index focuses specifically on the information technology sector. It includes leading IT companies and serves as a reference for the performance of technology-related stocks in India.</w:t>
      </w:r>
    </w:p>
    <w:p w14:paraId="3BA8F840" w14:textId="77777777" w:rsidR="00F13FAD" w:rsidRDefault="00F13FAD" w:rsidP="00F13FAD">
      <w:pPr>
        <w:pStyle w:val="NormalWeb"/>
        <w:numPr>
          <w:ilvl w:val="0"/>
          <w:numId w:val="16"/>
        </w:numPr>
        <w:spacing w:before="0" w:beforeAutospacing="0" w:after="0" w:afterAutospacing="0"/>
        <w:ind w:left="0"/>
        <w:rPr>
          <w:rFonts w:ascii="Segoe UI" w:hAnsi="Segoe UI" w:cs="Segoe UI"/>
          <w:color w:val="374151"/>
        </w:rPr>
      </w:pPr>
      <w:r w:rsidRPr="00EE484E">
        <w:rPr>
          <w:rStyle w:val="Strong"/>
          <w:color w:val="374151"/>
        </w:rPr>
        <w:t>Nifty Pharma:</w:t>
      </w:r>
      <w:r>
        <w:rPr>
          <w:rFonts w:ascii="Segoe UI" w:hAnsi="Segoe UI" w:cs="Segoe UI"/>
          <w:color w:val="374151"/>
        </w:rPr>
        <w:t xml:space="preserve"> This index is dedicated to the pharmaceutical sector and includes companies involved in the development and manufacturing of pharmaceutical products.</w:t>
      </w:r>
    </w:p>
    <w:p w14:paraId="5C488D22" w14:textId="77777777" w:rsidR="00F13FAD" w:rsidRDefault="00F13FAD" w:rsidP="00F13FAD">
      <w:pPr>
        <w:pStyle w:val="NormalWeb"/>
        <w:numPr>
          <w:ilvl w:val="0"/>
          <w:numId w:val="16"/>
        </w:numPr>
        <w:spacing w:before="0" w:beforeAutospacing="0" w:after="0" w:afterAutospacing="0"/>
        <w:ind w:left="0"/>
        <w:rPr>
          <w:rFonts w:ascii="Segoe UI" w:hAnsi="Segoe UI" w:cs="Segoe UI"/>
          <w:color w:val="374151"/>
        </w:rPr>
      </w:pPr>
      <w:r w:rsidRPr="00EE484E">
        <w:rPr>
          <w:rStyle w:val="Strong"/>
          <w:color w:val="374151"/>
        </w:rPr>
        <w:t>Nifty Auto:</w:t>
      </w:r>
      <w:r>
        <w:rPr>
          <w:rFonts w:ascii="Segoe UI" w:hAnsi="Segoe UI" w:cs="Segoe UI"/>
          <w:color w:val="374151"/>
        </w:rPr>
        <w:t xml:space="preserve"> The Nifty Auto Index tracks the performance of companies in the automotive sector, including automobile manufacturers and auto ancillary companies.</w:t>
      </w:r>
    </w:p>
    <w:p w14:paraId="665B420B" w14:textId="77777777" w:rsidR="00F13FAD" w:rsidRDefault="00F13FAD" w:rsidP="00F13FAD">
      <w:pPr>
        <w:pStyle w:val="NormalWeb"/>
        <w:numPr>
          <w:ilvl w:val="0"/>
          <w:numId w:val="16"/>
        </w:numPr>
        <w:spacing w:before="0" w:beforeAutospacing="0" w:after="0" w:afterAutospacing="0"/>
        <w:ind w:left="0"/>
        <w:rPr>
          <w:rFonts w:ascii="Segoe UI" w:hAnsi="Segoe UI" w:cs="Segoe UI"/>
          <w:color w:val="374151"/>
        </w:rPr>
      </w:pPr>
      <w:r w:rsidRPr="00EE484E">
        <w:rPr>
          <w:rStyle w:val="Strong"/>
          <w:color w:val="374151"/>
        </w:rPr>
        <w:t>Nifty FMCG:</w:t>
      </w:r>
      <w:r>
        <w:rPr>
          <w:rFonts w:ascii="Segoe UI" w:hAnsi="Segoe UI" w:cs="Segoe UI"/>
          <w:color w:val="374151"/>
        </w:rPr>
        <w:t xml:space="preserve"> This index monitors the fast-moving consumer goods (FMCG) sector, encompassing companies that produce consumer products such as food, beverages, and household items.</w:t>
      </w:r>
    </w:p>
    <w:p w14:paraId="56018107" w14:textId="77777777" w:rsidR="00F13FAD" w:rsidRDefault="00F13FAD" w:rsidP="00F13FAD">
      <w:pPr>
        <w:pStyle w:val="NormalWeb"/>
        <w:numPr>
          <w:ilvl w:val="0"/>
          <w:numId w:val="16"/>
        </w:numPr>
        <w:spacing w:before="0" w:beforeAutospacing="0" w:after="0" w:afterAutospacing="0"/>
        <w:ind w:left="0"/>
        <w:rPr>
          <w:rFonts w:ascii="Segoe UI" w:hAnsi="Segoe UI" w:cs="Segoe UI"/>
          <w:color w:val="374151"/>
        </w:rPr>
      </w:pPr>
      <w:r w:rsidRPr="00EE484E">
        <w:rPr>
          <w:rStyle w:val="Strong"/>
          <w:color w:val="374151"/>
        </w:rPr>
        <w:t>Nifty Metal:</w:t>
      </w:r>
      <w:r>
        <w:rPr>
          <w:rFonts w:ascii="Segoe UI" w:hAnsi="Segoe UI" w:cs="Segoe UI"/>
          <w:color w:val="374151"/>
        </w:rPr>
        <w:t xml:space="preserve"> The Nifty Metal Index focuses on the metal and mining sector, including companies involved in the production of metals like steel, aluminum, and copper.</w:t>
      </w:r>
    </w:p>
    <w:p w14:paraId="12BFCC00" w14:textId="77777777" w:rsidR="00F13FAD" w:rsidRDefault="00F13FAD" w:rsidP="00F13FAD">
      <w:pPr>
        <w:pStyle w:val="NormalWeb"/>
        <w:numPr>
          <w:ilvl w:val="0"/>
          <w:numId w:val="16"/>
        </w:numPr>
        <w:spacing w:before="0" w:beforeAutospacing="0" w:after="0" w:afterAutospacing="0"/>
        <w:ind w:left="0"/>
        <w:rPr>
          <w:rFonts w:ascii="Segoe UI" w:hAnsi="Segoe UI" w:cs="Segoe UI"/>
          <w:color w:val="374151"/>
        </w:rPr>
      </w:pPr>
      <w:r w:rsidRPr="00EE484E">
        <w:rPr>
          <w:rStyle w:val="Strong"/>
          <w:color w:val="374151"/>
        </w:rPr>
        <w:t>Nifty Realty:</w:t>
      </w:r>
      <w:r>
        <w:rPr>
          <w:rFonts w:ascii="Segoe UI" w:hAnsi="Segoe UI" w:cs="Segoe UI"/>
          <w:color w:val="374151"/>
        </w:rPr>
        <w:t xml:space="preserve"> This index tracks the real estate sector in India, comprising real estate development companies, construction firms, and related businesses.</w:t>
      </w:r>
    </w:p>
    <w:p w14:paraId="6301E966" w14:textId="77777777" w:rsidR="00F13FAD" w:rsidRDefault="00F13FAD" w:rsidP="00F13FAD">
      <w:pPr>
        <w:pStyle w:val="NormalWeb"/>
        <w:numPr>
          <w:ilvl w:val="0"/>
          <w:numId w:val="16"/>
        </w:numPr>
        <w:spacing w:before="0" w:beforeAutospacing="0" w:after="0" w:afterAutospacing="0"/>
        <w:ind w:left="0"/>
        <w:rPr>
          <w:rFonts w:ascii="Segoe UI" w:hAnsi="Segoe UI" w:cs="Segoe UI"/>
          <w:color w:val="374151"/>
        </w:rPr>
      </w:pPr>
      <w:r w:rsidRPr="00EE484E">
        <w:rPr>
          <w:rStyle w:val="Strong"/>
          <w:color w:val="374151"/>
        </w:rPr>
        <w:t>Nifty Energy:</w:t>
      </w:r>
      <w:r>
        <w:rPr>
          <w:rFonts w:ascii="Segoe UI" w:hAnsi="Segoe UI" w:cs="Segoe UI"/>
          <w:color w:val="374151"/>
        </w:rPr>
        <w:t xml:space="preserve"> The Nifty Energy Index includes companies in the energy sector, covering areas such as oil, gas, and power generation.</w:t>
      </w:r>
    </w:p>
    <w:p w14:paraId="5B63E03E" w14:textId="77777777" w:rsidR="00F13FAD" w:rsidRDefault="00F13FAD" w:rsidP="00F13FAD">
      <w:pPr>
        <w:pStyle w:val="NormalWeb"/>
        <w:numPr>
          <w:ilvl w:val="0"/>
          <w:numId w:val="16"/>
        </w:numPr>
        <w:spacing w:before="0" w:beforeAutospacing="0" w:after="0" w:afterAutospacing="0"/>
        <w:ind w:left="0"/>
        <w:rPr>
          <w:rFonts w:ascii="Segoe UI" w:hAnsi="Segoe UI" w:cs="Segoe UI"/>
          <w:color w:val="374151"/>
        </w:rPr>
      </w:pPr>
      <w:r w:rsidRPr="00EE484E">
        <w:rPr>
          <w:rStyle w:val="Strong"/>
          <w:color w:val="374151"/>
        </w:rPr>
        <w:t>Nifty Smallcap 100:</w:t>
      </w:r>
      <w:r>
        <w:rPr>
          <w:rFonts w:ascii="Segoe UI" w:hAnsi="Segoe UI" w:cs="Segoe UI"/>
          <w:color w:val="374151"/>
        </w:rPr>
        <w:t xml:space="preserve"> This index represents the performance of the 100 smaller companies listed on the NSE, offering insight into the performance of smaller-cap stocks in India.</w:t>
      </w:r>
    </w:p>
    <w:p w14:paraId="219EA3D6" w14:textId="77777777" w:rsidR="00F13FAD" w:rsidRDefault="00F13FAD" w:rsidP="00F13FAD">
      <w:pPr>
        <w:pStyle w:val="NormalWeb"/>
        <w:numPr>
          <w:ilvl w:val="0"/>
          <w:numId w:val="16"/>
        </w:numPr>
        <w:spacing w:before="0" w:beforeAutospacing="0" w:after="0" w:afterAutospacing="0"/>
        <w:ind w:left="0"/>
        <w:rPr>
          <w:rFonts w:ascii="Segoe UI" w:hAnsi="Segoe UI" w:cs="Segoe UI"/>
          <w:color w:val="374151"/>
        </w:rPr>
      </w:pPr>
      <w:r w:rsidRPr="00EE484E">
        <w:rPr>
          <w:rStyle w:val="Strong"/>
          <w:color w:val="374151"/>
        </w:rPr>
        <w:t>Nifty Midcap 100:</w:t>
      </w:r>
      <w:r>
        <w:rPr>
          <w:rFonts w:ascii="Segoe UI" w:hAnsi="Segoe UI" w:cs="Segoe UI"/>
          <w:color w:val="374151"/>
        </w:rPr>
        <w:t xml:space="preserve"> Similar to the Smallcap 100, this index tracks the performance of 100 mid-sized companies listed on the NSE.</w:t>
      </w:r>
    </w:p>
    <w:p w14:paraId="5DFFFF23" w14:textId="77777777" w:rsidR="00F13FAD" w:rsidRDefault="00F13FAD" w:rsidP="00F13FAD">
      <w:pPr>
        <w:pStyle w:val="NormalWeb"/>
        <w:spacing w:before="300" w:beforeAutospacing="0" w:after="0" w:afterAutospacing="0"/>
        <w:rPr>
          <w:rFonts w:ascii="Segoe UI" w:hAnsi="Segoe UI" w:cs="Segoe UI"/>
          <w:color w:val="374151"/>
        </w:rPr>
      </w:pPr>
      <w:r>
        <w:rPr>
          <w:rFonts w:ascii="Segoe UI" w:hAnsi="Segoe UI" w:cs="Segoe UI"/>
          <w:color w:val="374151"/>
        </w:rPr>
        <w:t>These Indian stock market indices serve as important tools for investors, traders, and financial analysts to gauge the performance of different sectors and market segments in the Indian equity market. Additionally, they provide benchmarks for investment products such as mutual funds and exchange-traded funds (ETFs) that aim to replicate the performance of specific indices</w:t>
      </w:r>
    </w:p>
    <w:p w14:paraId="40EBDCF9" w14:textId="77777777" w:rsidR="00F13FAD" w:rsidRDefault="00F13FAD" w:rsidP="00F13FAD"/>
    <w:p w14:paraId="33890E94" w14:textId="77777777" w:rsidR="00F13FAD" w:rsidRPr="005D5C92" w:rsidRDefault="00F13FAD" w:rsidP="00F13FAD">
      <w:pPr>
        <w:rPr>
          <w:rFonts w:ascii="Times New Roman" w:hAnsi="Times New Roman" w:cs="Times New Roman"/>
          <w:b/>
          <w:sz w:val="28"/>
          <w:szCs w:val="28"/>
          <w:u w:val="single"/>
        </w:rPr>
      </w:pPr>
      <w:r w:rsidRPr="005D5C92">
        <w:rPr>
          <w:rFonts w:ascii="Times New Roman" w:hAnsi="Times New Roman" w:cs="Times New Roman"/>
          <w:b/>
          <w:sz w:val="28"/>
          <w:szCs w:val="28"/>
          <w:u w:val="single"/>
        </w:rPr>
        <w:t>Disinvestment, FDI and Foreign Portfolio Management</w:t>
      </w:r>
    </w:p>
    <w:p w14:paraId="2C01209A" w14:textId="77777777" w:rsidR="00F13FAD" w:rsidRPr="00EE484E" w:rsidRDefault="00F13FAD" w:rsidP="00F13FAD">
      <w:pPr>
        <w:spacing w:after="300" w:line="240" w:lineRule="auto"/>
        <w:rPr>
          <w:rFonts w:ascii="Segoe UI" w:eastAsia="Times New Roman" w:hAnsi="Segoe UI" w:cs="Segoe UI"/>
          <w:sz w:val="21"/>
          <w:szCs w:val="21"/>
          <w:lang w:val="en-IN" w:eastAsia="en-IN"/>
        </w:rPr>
      </w:pPr>
      <w:r w:rsidRPr="00EE484E">
        <w:rPr>
          <w:rFonts w:ascii="Segoe UI" w:eastAsia="Times New Roman" w:hAnsi="Segoe UI" w:cs="Segoe UI"/>
          <w:sz w:val="21"/>
          <w:szCs w:val="21"/>
          <w:lang w:val="en-IN" w:eastAsia="en-IN"/>
        </w:rPr>
        <w:t>Disinvestment, Foreign Direct Investment (FDI), and Foreign Portfolio Investment (FPI) are significant aspects of India's economic policy and foreign investment framework. Each plays a distinct role in the country's efforts to attract capital, foster economic growth, and improve the efficiency of its state-owned enterprises. Here's an overview of each:</w:t>
      </w:r>
    </w:p>
    <w:p w14:paraId="424C8FCF" w14:textId="77777777" w:rsidR="00F13FAD" w:rsidRPr="00EE484E" w:rsidRDefault="00F13FAD" w:rsidP="00F13FAD">
      <w:pPr>
        <w:numPr>
          <w:ilvl w:val="0"/>
          <w:numId w:val="17"/>
        </w:numPr>
        <w:spacing w:after="0" w:line="240" w:lineRule="auto"/>
        <w:ind w:left="0"/>
        <w:jc w:val="both"/>
        <w:rPr>
          <w:rFonts w:ascii="Segoe UI" w:eastAsia="Times New Roman" w:hAnsi="Segoe UI" w:cs="Segoe UI"/>
          <w:sz w:val="21"/>
          <w:szCs w:val="21"/>
          <w:lang w:val="en-IN" w:eastAsia="en-IN"/>
        </w:rPr>
      </w:pPr>
      <w:r w:rsidRPr="00EE484E">
        <w:rPr>
          <w:rFonts w:ascii="Segoe UI" w:eastAsia="Times New Roman" w:hAnsi="Segoe UI" w:cs="Segoe UI"/>
          <w:b/>
          <w:bCs/>
          <w:sz w:val="21"/>
          <w:szCs w:val="21"/>
          <w:lang w:val="en-IN" w:eastAsia="en-IN"/>
        </w:rPr>
        <w:t>Disinvestment:</w:t>
      </w:r>
    </w:p>
    <w:p w14:paraId="0E35C634" w14:textId="77777777" w:rsidR="00F13FAD" w:rsidRPr="00EE484E" w:rsidRDefault="00F13FAD" w:rsidP="00F13FAD">
      <w:pPr>
        <w:numPr>
          <w:ilvl w:val="1"/>
          <w:numId w:val="17"/>
        </w:numPr>
        <w:spacing w:after="0" w:line="240" w:lineRule="auto"/>
        <w:ind w:left="720"/>
        <w:jc w:val="both"/>
        <w:rPr>
          <w:rFonts w:ascii="Segoe UI" w:eastAsia="Times New Roman" w:hAnsi="Segoe UI" w:cs="Segoe UI"/>
          <w:sz w:val="21"/>
          <w:szCs w:val="21"/>
          <w:lang w:val="en-IN" w:eastAsia="en-IN"/>
        </w:rPr>
      </w:pPr>
      <w:r w:rsidRPr="00EE484E">
        <w:rPr>
          <w:rFonts w:ascii="Segoe UI" w:eastAsia="Times New Roman" w:hAnsi="Segoe UI" w:cs="Segoe UI"/>
          <w:b/>
          <w:bCs/>
          <w:sz w:val="21"/>
          <w:szCs w:val="21"/>
          <w:lang w:val="en-IN" w:eastAsia="en-IN"/>
        </w:rPr>
        <w:t>Definition:</w:t>
      </w:r>
      <w:r w:rsidRPr="00EE484E">
        <w:rPr>
          <w:rFonts w:ascii="Segoe UI" w:eastAsia="Times New Roman" w:hAnsi="Segoe UI" w:cs="Segoe UI"/>
          <w:sz w:val="21"/>
          <w:szCs w:val="21"/>
          <w:lang w:val="en-IN" w:eastAsia="en-IN"/>
        </w:rPr>
        <w:t xml:space="preserve"> Disinvestment refers to the sale of government-owned assets, such as equity shares in public-sector companies, to private investors or entities. It can involve partial or complete divestment of government stakes in public-sector enterprises.</w:t>
      </w:r>
    </w:p>
    <w:p w14:paraId="40016FBD" w14:textId="77777777" w:rsidR="00F13FAD" w:rsidRPr="00EE484E" w:rsidRDefault="00F13FAD" w:rsidP="00F13FAD">
      <w:pPr>
        <w:numPr>
          <w:ilvl w:val="1"/>
          <w:numId w:val="17"/>
        </w:numPr>
        <w:spacing w:after="0" w:line="240" w:lineRule="auto"/>
        <w:ind w:left="720"/>
        <w:jc w:val="both"/>
        <w:rPr>
          <w:rFonts w:ascii="Segoe UI" w:eastAsia="Times New Roman" w:hAnsi="Segoe UI" w:cs="Segoe UI"/>
          <w:sz w:val="21"/>
          <w:szCs w:val="21"/>
          <w:lang w:val="en-IN" w:eastAsia="en-IN"/>
        </w:rPr>
      </w:pPr>
      <w:r w:rsidRPr="00EE484E">
        <w:rPr>
          <w:rFonts w:ascii="Segoe UI" w:eastAsia="Times New Roman" w:hAnsi="Segoe UI" w:cs="Segoe UI"/>
          <w:b/>
          <w:bCs/>
          <w:sz w:val="21"/>
          <w:szCs w:val="21"/>
          <w:lang w:val="en-IN" w:eastAsia="en-IN"/>
        </w:rPr>
        <w:t>Objective:</w:t>
      </w:r>
      <w:r w:rsidRPr="00EE484E">
        <w:rPr>
          <w:rFonts w:ascii="Segoe UI" w:eastAsia="Times New Roman" w:hAnsi="Segoe UI" w:cs="Segoe UI"/>
          <w:sz w:val="21"/>
          <w:szCs w:val="21"/>
          <w:lang w:val="en-IN" w:eastAsia="en-IN"/>
        </w:rPr>
        <w:t xml:space="preserve"> The primary objective of disinvestment is to reduce the government's fiscal burden, promote private sector participation in key industries, and enhance the efficiency and competitiveness of public-sector enterprises.</w:t>
      </w:r>
    </w:p>
    <w:p w14:paraId="12287E01" w14:textId="77777777" w:rsidR="00F13FAD" w:rsidRPr="00EE484E" w:rsidRDefault="00F13FAD" w:rsidP="00F13FAD">
      <w:pPr>
        <w:numPr>
          <w:ilvl w:val="1"/>
          <w:numId w:val="17"/>
        </w:numPr>
        <w:spacing w:after="0" w:line="240" w:lineRule="auto"/>
        <w:ind w:left="720"/>
        <w:jc w:val="both"/>
        <w:rPr>
          <w:rFonts w:ascii="Segoe UI" w:eastAsia="Times New Roman" w:hAnsi="Segoe UI" w:cs="Segoe UI"/>
          <w:sz w:val="21"/>
          <w:szCs w:val="21"/>
          <w:lang w:val="en-IN" w:eastAsia="en-IN"/>
        </w:rPr>
      </w:pPr>
      <w:r w:rsidRPr="00EE484E">
        <w:rPr>
          <w:rFonts w:ascii="Segoe UI" w:eastAsia="Times New Roman" w:hAnsi="Segoe UI" w:cs="Segoe UI"/>
          <w:b/>
          <w:bCs/>
          <w:sz w:val="21"/>
          <w:szCs w:val="21"/>
          <w:lang w:val="en-IN" w:eastAsia="en-IN"/>
        </w:rPr>
        <w:t>Methods:</w:t>
      </w:r>
      <w:r w:rsidRPr="00EE484E">
        <w:rPr>
          <w:rFonts w:ascii="Segoe UI" w:eastAsia="Times New Roman" w:hAnsi="Segoe UI" w:cs="Segoe UI"/>
          <w:sz w:val="21"/>
          <w:szCs w:val="21"/>
          <w:lang w:val="en-IN" w:eastAsia="en-IN"/>
        </w:rPr>
        <w:t xml:space="preserve"> Disinvestment can occur through various methods, including Initial Public Offerings (IPOs), strategic sales, share buybacks, and exchange-traded funds (ETFs).</w:t>
      </w:r>
    </w:p>
    <w:p w14:paraId="3676A5C2" w14:textId="77777777" w:rsidR="00F13FAD" w:rsidRPr="00EE484E" w:rsidRDefault="00F13FAD" w:rsidP="00F13FAD">
      <w:pPr>
        <w:numPr>
          <w:ilvl w:val="1"/>
          <w:numId w:val="17"/>
        </w:numPr>
        <w:spacing w:after="0" w:line="240" w:lineRule="auto"/>
        <w:ind w:left="720"/>
        <w:jc w:val="both"/>
        <w:rPr>
          <w:rFonts w:ascii="Segoe UI" w:eastAsia="Times New Roman" w:hAnsi="Segoe UI" w:cs="Segoe UI"/>
          <w:sz w:val="21"/>
          <w:szCs w:val="21"/>
          <w:lang w:val="en-IN" w:eastAsia="en-IN"/>
        </w:rPr>
      </w:pPr>
      <w:r w:rsidRPr="00EE484E">
        <w:rPr>
          <w:rFonts w:ascii="Segoe UI" w:eastAsia="Times New Roman" w:hAnsi="Segoe UI" w:cs="Segoe UI"/>
          <w:b/>
          <w:bCs/>
          <w:sz w:val="21"/>
          <w:szCs w:val="21"/>
          <w:lang w:val="en-IN" w:eastAsia="en-IN"/>
        </w:rPr>
        <w:t>Recent Developments:</w:t>
      </w:r>
      <w:r w:rsidRPr="00EE484E">
        <w:rPr>
          <w:rFonts w:ascii="Segoe UI" w:eastAsia="Times New Roman" w:hAnsi="Segoe UI" w:cs="Segoe UI"/>
          <w:sz w:val="21"/>
          <w:szCs w:val="21"/>
          <w:lang w:val="en-IN" w:eastAsia="en-IN"/>
        </w:rPr>
        <w:t xml:space="preserve"> India has been actively pursuing disinvestment in recent years, targeting the sale of shares in various public-sector companies across sectors such as energy, telecommunications, and finance. The government's disinvestment program aims to mobilize funds for infrastructure development and reduce the fiscal deficit.</w:t>
      </w:r>
    </w:p>
    <w:p w14:paraId="00C1E291" w14:textId="77777777" w:rsidR="00F13FAD" w:rsidRPr="00EE484E" w:rsidRDefault="00F13FAD" w:rsidP="00F13FAD">
      <w:pPr>
        <w:numPr>
          <w:ilvl w:val="0"/>
          <w:numId w:val="17"/>
        </w:numPr>
        <w:spacing w:after="0" w:line="240" w:lineRule="auto"/>
        <w:ind w:left="0"/>
        <w:jc w:val="both"/>
        <w:rPr>
          <w:rFonts w:ascii="Segoe UI" w:eastAsia="Times New Roman" w:hAnsi="Segoe UI" w:cs="Segoe UI"/>
          <w:sz w:val="21"/>
          <w:szCs w:val="21"/>
          <w:lang w:val="en-IN" w:eastAsia="en-IN"/>
        </w:rPr>
      </w:pPr>
      <w:r w:rsidRPr="00EE484E">
        <w:rPr>
          <w:rFonts w:ascii="Segoe UI" w:eastAsia="Times New Roman" w:hAnsi="Segoe UI" w:cs="Segoe UI"/>
          <w:b/>
          <w:bCs/>
          <w:sz w:val="21"/>
          <w:szCs w:val="21"/>
          <w:lang w:val="en-IN" w:eastAsia="en-IN"/>
        </w:rPr>
        <w:t>Foreign Direct Investment (FDI)</w:t>
      </w:r>
      <w:r w:rsidRPr="00EE484E">
        <w:rPr>
          <w:rFonts w:ascii="Segoe UI" w:eastAsia="Times New Roman" w:hAnsi="Segoe UI" w:cs="Segoe UI"/>
          <w:b/>
          <w:bCs/>
          <w:sz w:val="21"/>
          <w:szCs w:val="21"/>
          <w:bdr w:val="single" w:sz="2" w:space="0" w:color="D9D9E3" w:frame="1"/>
          <w:lang w:val="en-IN" w:eastAsia="en-IN"/>
        </w:rPr>
        <w:t>:</w:t>
      </w:r>
    </w:p>
    <w:p w14:paraId="291D750C" w14:textId="77777777" w:rsidR="00F13FAD" w:rsidRPr="00EE484E" w:rsidRDefault="00F13FAD" w:rsidP="00F13FAD">
      <w:pPr>
        <w:numPr>
          <w:ilvl w:val="1"/>
          <w:numId w:val="17"/>
        </w:numPr>
        <w:spacing w:after="0" w:line="240" w:lineRule="auto"/>
        <w:ind w:left="720"/>
        <w:jc w:val="both"/>
        <w:rPr>
          <w:rFonts w:ascii="Segoe UI" w:eastAsia="Times New Roman" w:hAnsi="Segoe UI" w:cs="Segoe UI"/>
          <w:sz w:val="21"/>
          <w:szCs w:val="21"/>
          <w:lang w:val="en-IN" w:eastAsia="en-IN"/>
        </w:rPr>
      </w:pPr>
      <w:r w:rsidRPr="00EE484E">
        <w:rPr>
          <w:rFonts w:ascii="Segoe UI" w:eastAsia="Times New Roman" w:hAnsi="Segoe UI" w:cs="Segoe UI"/>
          <w:b/>
          <w:bCs/>
          <w:sz w:val="21"/>
          <w:szCs w:val="21"/>
          <w:lang w:val="en-IN" w:eastAsia="en-IN"/>
        </w:rPr>
        <w:t>Definition:</w:t>
      </w:r>
      <w:r w:rsidRPr="00EE484E">
        <w:rPr>
          <w:rFonts w:ascii="Segoe UI" w:eastAsia="Times New Roman" w:hAnsi="Segoe UI" w:cs="Segoe UI"/>
          <w:sz w:val="21"/>
          <w:szCs w:val="21"/>
          <w:lang w:val="en-IN" w:eastAsia="en-IN"/>
        </w:rPr>
        <w:t xml:space="preserve"> FDI refers to investments made by foreign entities (individuals, companies, or governments) directly into businesses or assets located in India. It involves long-term ownership and control of the investment.</w:t>
      </w:r>
    </w:p>
    <w:p w14:paraId="6A2012D1" w14:textId="77777777" w:rsidR="00F13FAD" w:rsidRPr="00EE484E" w:rsidRDefault="00F13FAD" w:rsidP="00F13FAD">
      <w:pPr>
        <w:numPr>
          <w:ilvl w:val="1"/>
          <w:numId w:val="17"/>
        </w:numPr>
        <w:spacing w:after="0" w:line="240" w:lineRule="auto"/>
        <w:ind w:left="720"/>
        <w:jc w:val="both"/>
        <w:rPr>
          <w:rFonts w:ascii="Segoe UI" w:eastAsia="Times New Roman" w:hAnsi="Segoe UI" w:cs="Segoe UI"/>
          <w:sz w:val="21"/>
          <w:szCs w:val="21"/>
          <w:lang w:val="en-IN" w:eastAsia="en-IN"/>
        </w:rPr>
      </w:pPr>
      <w:r w:rsidRPr="00EE484E">
        <w:rPr>
          <w:rFonts w:ascii="Segoe UI" w:eastAsia="Times New Roman" w:hAnsi="Segoe UI" w:cs="Segoe UI"/>
          <w:b/>
          <w:bCs/>
          <w:sz w:val="21"/>
          <w:szCs w:val="21"/>
          <w:lang w:val="en-IN" w:eastAsia="en-IN"/>
        </w:rPr>
        <w:t>Objective:</w:t>
      </w:r>
      <w:r w:rsidRPr="00EE484E">
        <w:rPr>
          <w:rFonts w:ascii="Segoe UI" w:eastAsia="Times New Roman" w:hAnsi="Segoe UI" w:cs="Segoe UI"/>
          <w:sz w:val="21"/>
          <w:szCs w:val="21"/>
          <w:lang w:val="en-IN" w:eastAsia="en-IN"/>
        </w:rPr>
        <w:t xml:space="preserve"> FDI promotes economic growth, technology transfer, job creation, and the development of various sectors in India. It can also enhance the competitiveness of domestic industries through foreign participation.</w:t>
      </w:r>
    </w:p>
    <w:p w14:paraId="6B7ECFE0" w14:textId="77777777" w:rsidR="00F13FAD" w:rsidRPr="00EE484E" w:rsidRDefault="00F13FAD" w:rsidP="00F13FAD">
      <w:pPr>
        <w:numPr>
          <w:ilvl w:val="1"/>
          <w:numId w:val="17"/>
        </w:numPr>
        <w:spacing w:after="0" w:line="240" w:lineRule="auto"/>
        <w:ind w:left="720"/>
        <w:jc w:val="both"/>
        <w:rPr>
          <w:rFonts w:ascii="Segoe UI" w:eastAsia="Times New Roman" w:hAnsi="Segoe UI" w:cs="Segoe UI"/>
          <w:sz w:val="21"/>
          <w:szCs w:val="21"/>
          <w:lang w:val="en-IN" w:eastAsia="en-IN"/>
        </w:rPr>
      </w:pPr>
      <w:r w:rsidRPr="00EE484E">
        <w:rPr>
          <w:rFonts w:ascii="Segoe UI" w:eastAsia="Times New Roman" w:hAnsi="Segoe UI" w:cs="Segoe UI"/>
          <w:b/>
          <w:bCs/>
          <w:sz w:val="21"/>
          <w:szCs w:val="21"/>
          <w:lang w:val="en-IN" w:eastAsia="en-IN"/>
        </w:rPr>
        <w:t>Sectors:</w:t>
      </w:r>
      <w:r w:rsidRPr="00EE484E">
        <w:rPr>
          <w:rFonts w:ascii="Segoe UI" w:eastAsia="Times New Roman" w:hAnsi="Segoe UI" w:cs="Segoe UI"/>
          <w:sz w:val="21"/>
          <w:szCs w:val="21"/>
          <w:lang w:val="en-IN" w:eastAsia="en-IN"/>
        </w:rPr>
        <w:t xml:space="preserve"> India allows FDI in various sectors, with different levels of equity ownership permitted in each sector. Some sectors may have restrictions or require government approval.</w:t>
      </w:r>
    </w:p>
    <w:p w14:paraId="7AF9B4C4" w14:textId="77777777" w:rsidR="00F13FAD" w:rsidRPr="00EE484E" w:rsidRDefault="00F13FAD" w:rsidP="00F13FAD">
      <w:pPr>
        <w:numPr>
          <w:ilvl w:val="1"/>
          <w:numId w:val="17"/>
        </w:numPr>
        <w:spacing w:after="0" w:line="240" w:lineRule="auto"/>
        <w:ind w:left="720"/>
        <w:jc w:val="both"/>
        <w:rPr>
          <w:rFonts w:ascii="Segoe UI" w:eastAsia="Times New Roman" w:hAnsi="Segoe UI" w:cs="Segoe UI"/>
          <w:sz w:val="21"/>
          <w:szCs w:val="21"/>
          <w:lang w:val="en-IN" w:eastAsia="en-IN"/>
        </w:rPr>
      </w:pPr>
      <w:r w:rsidRPr="00EE484E">
        <w:rPr>
          <w:rFonts w:ascii="Segoe UI" w:eastAsia="Times New Roman" w:hAnsi="Segoe UI" w:cs="Segoe UI"/>
          <w:b/>
          <w:bCs/>
          <w:sz w:val="21"/>
          <w:szCs w:val="21"/>
          <w:lang w:val="en-IN" w:eastAsia="en-IN"/>
        </w:rPr>
        <w:t>Recent Developments:</w:t>
      </w:r>
      <w:r w:rsidRPr="00EE484E">
        <w:rPr>
          <w:rFonts w:ascii="Segoe UI" w:eastAsia="Times New Roman" w:hAnsi="Segoe UI" w:cs="Segoe UI"/>
          <w:sz w:val="21"/>
          <w:szCs w:val="21"/>
          <w:lang w:val="en-IN" w:eastAsia="en-IN"/>
        </w:rPr>
        <w:t xml:space="preserve"> India has been actively attracting FDI in sectors such as e-commerce, manufacturing, and technology. Initiatives like "Make in India" and "Ease of Doing Business" have aimed to improve the investment climate and encourage foreign investors.</w:t>
      </w:r>
    </w:p>
    <w:p w14:paraId="5898AEB9" w14:textId="77777777" w:rsidR="00F13FAD" w:rsidRPr="00EE484E" w:rsidRDefault="00F13FAD" w:rsidP="00F13FAD">
      <w:pPr>
        <w:numPr>
          <w:ilvl w:val="0"/>
          <w:numId w:val="17"/>
        </w:numPr>
        <w:spacing w:after="0" w:line="240" w:lineRule="auto"/>
        <w:ind w:left="0"/>
        <w:jc w:val="both"/>
        <w:rPr>
          <w:rFonts w:ascii="Segoe UI" w:eastAsia="Times New Roman" w:hAnsi="Segoe UI" w:cs="Segoe UI"/>
          <w:sz w:val="21"/>
          <w:szCs w:val="21"/>
          <w:lang w:val="en-IN" w:eastAsia="en-IN"/>
        </w:rPr>
      </w:pPr>
      <w:r w:rsidRPr="00EE484E">
        <w:rPr>
          <w:rFonts w:ascii="Segoe UI" w:eastAsia="Times New Roman" w:hAnsi="Segoe UI" w:cs="Segoe UI"/>
          <w:b/>
          <w:bCs/>
          <w:sz w:val="21"/>
          <w:szCs w:val="21"/>
          <w:lang w:val="en-IN" w:eastAsia="en-IN"/>
        </w:rPr>
        <w:t>Foreign Portfolio Investment (FPI):</w:t>
      </w:r>
    </w:p>
    <w:p w14:paraId="7473E238" w14:textId="77777777" w:rsidR="00F13FAD" w:rsidRPr="00EE484E" w:rsidRDefault="00F13FAD" w:rsidP="00F13FAD">
      <w:pPr>
        <w:numPr>
          <w:ilvl w:val="1"/>
          <w:numId w:val="17"/>
        </w:numPr>
        <w:spacing w:after="0" w:line="240" w:lineRule="auto"/>
        <w:ind w:left="720"/>
        <w:jc w:val="both"/>
        <w:rPr>
          <w:rFonts w:ascii="Segoe UI" w:eastAsia="Times New Roman" w:hAnsi="Segoe UI" w:cs="Segoe UI"/>
          <w:sz w:val="21"/>
          <w:szCs w:val="21"/>
          <w:lang w:val="en-IN" w:eastAsia="en-IN"/>
        </w:rPr>
      </w:pPr>
      <w:r w:rsidRPr="00EE484E">
        <w:rPr>
          <w:rFonts w:ascii="Segoe UI" w:eastAsia="Times New Roman" w:hAnsi="Segoe UI" w:cs="Segoe UI"/>
          <w:b/>
          <w:bCs/>
          <w:sz w:val="21"/>
          <w:szCs w:val="21"/>
          <w:lang w:val="en-IN" w:eastAsia="en-IN"/>
        </w:rPr>
        <w:t>Definition:</w:t>
      </w:r>
      <w:r w:rsidRPr="00EE484E">
        <w:rPr>
          <w:rFonts w:ascii="Segoe UI" w:eastAsia="Times New Roman" w:hAnsi="Segoe UI" w:cs="Segoe UI"/>
          <w:sz w:val="21"/>
          <w:szCs w:val="21"/>
          <w:lang w:val="en-IN" w:eastAsia="en-IN"/>
        </w:rPr>
        <w:t xml:space="preserve"> FPI refers to investments made by foreign investors (individuals or institutions) in financial assets such as stocks, bonds, and other securities in India. FPI is considered more short-term and does not involve direct ownership or control of the invested entities.</w:t>
      </w:r>
    </w:p>
    <w:p w14:paraId="1CBA7795" w14:textId="77777777" w:rsidR="00F13FAD" w:rsidRPr="00EE484E" w:rsidRDefault="00F13FAD" w:rsidP="00F13FAD">
      <w:pPr>
        <w:numPr>
          <w:ilvl w:val="1"/>
          <w:numId w:val="17"/>
        </w:numPr>
        <w:spacing w:after="0" w:line="240" w:lineRule="auto"/>
        <w:ind w:left="720"/>
        <w:jc w:val="both"/>
        <w:rPr>
          <w:rFonts w:ascii="Segoe UI" w:eastAsia="Times New Roman" w:hAnsi="Segoe UI" w:cs="Segoe UI"/>
          <w:sz w:val="21"/>
          <w:szCs w:val="21"/>
          <w:lang w:val="en-IN" w:eastAsia="en-IN"/>
        </w:rPr>
      </w:pPr>
      <w:r w:rsidRPr="00EE484E">
        <w:rPr>
          <w:rFonts w:ascii="Segoe UI" w:eastAsia="Times New Roman" w:hAnsi="Segoe UI" w:cs="Segoe UI"/>
          <w:b/>
          <w:bCs/>
          <w:sz w:val="21"/>
          <w:szCs w:val="21"/>
          <w:lang w:val="en-IN" w:eastAsia="en-IN"/>
        </w:rPr>
        <w:t>Objective:</w:t>
      </w:r>
      <w:r w:rsidRPr="00EE484E">
        <w:rPr>
          <w:rFonts w:ascii="Segoe UI" w:eastAsia="Times New Roman" w:hAnsi="Segoe UI" w:cs="Segoe UI"/>
          <w:sz w:val="21"/>
          <w:szCs w:val="21"/>
          <w:lang w:val="en-IN" w:eastAsia="en-IN"/>
        </w:rPr>
        <w:t xml:space="preserve"> FPI provides foreign investors with opportunities to participate in India's capital markets, diversify their portfolios, and earn returns on their investments.</w:t>
      </w:r>
    </w:p>
    <w:p w14:paraId="388A3EB6" w14:textId="77777777" w:rsidR="00F13FAD" w:rsidRPr="00EE484E" w:rsidRDefault="00F13FAD" w:rsidP="00F13FAD">
      <w:pPr>
        <w:numPr>
          <w:ilvl w:val="1"/>
          <w:numId w:val="17"/>
        </w:numPr>
        <w:spacing w:after="0" w:line="240" w:lineRule="auto"/>
        <w:ind w:left="720"/>
        <w:jc w:val="both"/>
        <w:rPr>
          <w:rFonts w:ascii="Segoe UI" w:eastAsia="Times New Roman" w:hAnsi="Segoe UI" w:cs="Segoe UI"/>
          <w:sz w:val="21"/>
          <w:szCs w:val="21"/>
          <w:lang w:val="en-IN" w:eastAsia="en-IN"/>
        </w:rPr>
      </w:pPr>
      <w:r w:rsidRPr="00EE484E">
        <w:rPr>
          <w:rFonts w:ascii="Segoe UI" w:eastAsia="Times New Roman" w:hAnsi="Segoe UI" w:cs="Segoe UI"/>
          <w:b/>
          <w:bCs/>
          <w:sz w:val="21"/>
          <w:szCs w:val="21"/>
          <w:lang w:val="en-IN" w:eastAsia="en-IN"/>
        </w:rPr>
        <w:t>Regulations:</w:t>
      </w:r>
      <w:r w:rsidRPr="00EE484E">
        <w:rPr>
          <w:rFonts w:ascii="Segoe UI" w:eastAsia="Times New Roman" w:hAnsi="Segoe UI" w:cs="Segoe UI"/>
          <w:sz w:val="21"/>
          <w:szCs w:val="21"/>
          <w:lang w:val="en-IN" w:eastAsia="en-IN"/>
        </w:rPr>
        <w:t xml:space="preserve"> India's regulatory framework for FPI includes registration with the Securities and Exchange Board of India (SEBI) and adherence to investment limits and sectoral restrictions.</w:t>
      </w:r>
    </w:p>
    <w:p w14:paraId="2A948CB5" w14:textId="77777777" w:rsidR="00F13FAD" w:rsidRPr="00EE484E" w:rsidRDefault="00F13FAD" w:rsidP="00F13FAD">
      <w:pPr>
        <w:numPr>
          <w:ilvl w:val="1"/>
          <w:numId w:val="17"/>
        </w:numPr>
        <w:spacing w:after="0" w:line="240" w:lineRule="auto"/>
        <w:ind w:left="720"/>
        <w:jc w:val="both"/>
        <w:rPr>
          <w:rFonts w:ascii="Segoe UI" w:eastAsia="Times New Roman" w:hAnsi="Segoe UI" w:cs="Segoe UI"/>
          <w:sz w:val="21"/>
          <w:szCs w:val="21"/>
          <w:lang w:val="en-IN" w:eastAsia="en-IN"/>
        </w:rPr>
      </w:pPr>
      <w:r w:rsidRPr="00EE484E">
        <w:rPr>
          <w:rFonts w:ascii="Segoe UI" w:eastAsia="Times New Roman" w:hAnsi="Segoe UI" w:cs="Segoe UI"/>
          <w:b/>
          <w:bCs/>
          <w:sz w:val="21"/>
          <w:szCs w:val="21"/>
          <w:lang w:val="en-IN" w:eastAsia="en-IN"/>
        </w:rPr>
        <w:t>Recent Developments:</w:t>
      </w:r>
      <w:r w:rsidRPr="00EE484E">
        <w:rPr>
          <w:rFonts w:ascii="Segoe UI" w:eastAsia="Times New Roman" w:hAnsi="Segoe UI" w:cs="Segoe UI"/>
          <w:sz w:val="21"/>
          <w:szCs w:val="21"/>
          <w:lang w:val="en-IN" w:eastAsia="en-IN"/>
        </w:rPr>
        <w:t xml:space="preserve"> India has made efforts to simplify and streamline FPI regulations to attract foreign capital into its capital markets. It has also made changes to taxation to enhance the attractiveness of Indian securities to foreign investors.</w:t>
      </w:r>
    </w:p>
    <w:p w14:paraId="1FE6C543" w14:textId="77777777" w:rsidR="00F13FAD" w:rsidRPr="00EE484E" w:rsidRDefault="00F13FAD" w:rsidP="00F13FAD">
      <w:pPr>
        <w:spacing w:before="300" w:after="100" w:line="240" w:lineRule="auto"/>
        <w:jc w:val="both"/>
        <w:rPr>
          <w:rFonts w:ascii="Segoe UI" w:eastAsia="Times New Roman" w:hAnsi="Segoe UI" w:cs="Segoe UI"/>
          <w:sz w:val="21"/>
          <w:szCs w:val="21"/>
          <w:lang w:val="en-IN" w:eastAsia="en-IN"/>
        </w:rPr>
      </w:pPr>
      <w:r w:rsidRPr="00EE484E">
        <w:rPr>
          <w:rFonts w:ascii="Segoe UI" w:eastAsia="Times New Roman" w:hAnsi="Segoe UI" w:cs="Segoe UI"/>
          <w:sz w:val="21"/>
          <w:szCs w:val="21"/>
          <w:lang w:val="en-IN" w:eastAsia="en-IN"/>
        </w:rPr>
        <w:t>In summary, disinvestment aims to reduce government ownership in public-sector companies, while FDI and FPI are mechanisms to attract foreign capital into India. These strategies are essential components of India's economic policy framework and contribute to the country's economic growth and development. It's important to note that the regulatory and policy landscape in these areas may evolve over time, so investors and businesses should stay informed about the latest developments and regulations in India.</w:t>
      </w:r>
    </w:p>
    <w:p w14:paraId="70BC58C9" w14:textId="732A5615" w:rsidR="00A35096" w:rsidRDefault="00A35096"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3A354D0E" w14:textId="29D9DB71"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25C45139" w14:textId="776CC302"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2282129F" w14:textId="73113101"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7591EBFF" w14:textId="7A17808E"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72ABCF94" w14:textId="444754AE"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7F88710C" w14:textId="3065D165"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4D1EE93B" w14:textId="35E65899"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60E1A917" w14:textId="4C20CA72"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21035141" w14:textId="1750FC4A"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18EB55E9" w14:textId="174B99DF"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4A5ACBC4" w14:textId="1847EA2F"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19EFC799" w14:textId="1EC8E6BD"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1C48B64E" w14:textId="2C86996A"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42B8517F" w14:textId="341B54BF"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178EF489" w14:textId="6247FABE"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7E6B3618" w14:textId="72072636"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1751CA40" w14:textId="37C8AAA1"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2846B0DD" w14:textId="3AFBE7FA"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6CFF258E" w14:textId="13509A38"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163923E6" w14:textId="2922E1F5"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3A433EB5" w14:textId="40C98344"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0DBD958F" w14:textId="3D1F37DC"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71AED380" w14:textId="5AF4DADF"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7E7D8323" w14:textId="301CC5A9"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5AD7A641" w14:textId="1E11FEDB"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269CB368" w14:textId="77777777" w:rsidR="00F13FAD" w:rsidRPr="00BE3CF7" w:rsidRDefault="00F13FAD" w:rsidP="00F13FAD">
      <w:pPr>
        <w:jc w:val="both"/>
        <w:rPr>
          <w:b/>
          <w:sz w:val="32"/>
          <w:szCs w:val="32"/>
          <w:u w:val="single"/>
        </w:rPr>
      </w:pPr>
      <w:r w:rsidRPr="00BE3CF7">
        <w:rPr>
          <w:b/>
          <w:sz w:val="32"/>
          <w:szCs w:val="32"/>
          <w:u w:val="single"/>
        </w:rPr>
        <w:t>Chapter 3</w:t>
      </w:r>
      <w:r>
        <w:rPr>
          <w:b/>
          <w:sz w:val="32"/>
          <w:szCs w:val="32"/>
          <w:u w:val="single"/>
        </w:rPr>
        <w:t xml:space="preserve"> - </w:t>
      </w:r>
      <w:r w:rsidRPr="00BE3CF7">
        <w:rPr>
          <w:b/>
          <w:sz w:val="32"/>
          <w:szCs w:val="32"/>
          <w:u w:val="single"/>
        </w:rPr>
        <w:t xml:space="preserve"> Valuation of Equity</w:t>
      </w:r>
    </w:p>
    <w:p w14:paraId="649B6490" w14:textId="77777777" w:rsidR="00F13FAD" w:rsidRPr="00BE3CF7" w:rsidRDefault="00F13FAD" w:rsidP="00F13FAD">
      <w:pPr>
        <w:jc w:val="both"/>
        <w:rPr>
          <w:b/>
          <w:sz w:val="28"/>
          <w:szCs w:val="28"/>
          <w:u w:val="single"/>
        </w:rPr>
      </w:pPr>
      <w:r w:rsidRPr="00BE3CF7">
        <w:rPr>
          <w:b/>
          <w:sz w:val="28"/>
          <w:szCs w:val="28"/>
          <w:u w:val="single"/>
        </w:rPr>
        <w:t>Factors affecting Share price</w:t>
      </w:r>
    </w:p>
    <w:p w14:paraId="386DC29A" w14:textId="77777777" w:rsidR="00F13FAD" w:rsidRDefault="00F13FAD" w:rsidP="00F13FAD">
      <w:pPr>
        <w:pStyle w:val="NormalWeb"/>
        <w:spacing w:before="0" w:beforeAutospacing="0" w:after="300" w:afterAutospacing="0"/>
        <w:jc w:val="both"/>
        <w:rPr>
          <w:rFonts w:ascii="Segoe UI" w:hAnsi="Segoe UI" w:cs="Segoe UI"/>
          <w:color w:val="374151"/>
        </w:rPr>
      </w:pPr>
      <w:r>
        <w:rPr>
          <w:rFonts w:ascii="Segoe UI" w:hAnsi="Segoe UI" w:cs="Segoe UI"/>
          <w:color w:val="374151"/>
        </w:rPr>
        <w:t>Share prices in the stock market are influenced by a multitude of factors, ranging from economic indicators and corporate performance to market sentiment and geopolitical events. Understanding these factors is crucial for investors and traders to make informed decisions. Here are some key factors that can affect share prices:</w:t>
      </w:r>
    </w:p>
    <w:p w14:paraId="65CF6310" w14:textId="77777777" w:rsidR="00F13FAD" w:rsidRDefault="00F13FAD" w:rsidP="00F13FAD">
      <w:pPr>
        <w:pStyle w:val="NormalWeb"/>
        <w:numPr>
          <w:ilvl w:val="0"/>
          <w:numId w:val="22"/>
        </w:numPr>
        <w:spacing w:before="0" w:beforeAutospacing="0" w:after="0" w:afterAutospacing="0"/>
        <w:ind w:left="0"/>
        <w:jc w:val="both"/>
        <w:rPr>
          <w:rFonts w:ascii="Segoe UI" w:hAnsi="Segoe UI" w:cs="Segoe UI"/>
          <w:color w:val="374151"/>
        </w:rPr>
      </w:pPr>
      <w:r w:rsidRPr="005F11F6">
        <w:rPr>
          <w:rStyle w:val="Strong"/>
          <w:rFonts w:ascii="Segoe UI" w:hAnsi="Segoe UI" w:cs="Segoe UI"/>
          <w:color w:val="374151"/>
        </w:rPr>
        <w:t>Earnings and Corporate Performance:</w:t>
      </w:r>
      <w:r>
        <w:rPr>
          <w:rFonts w:ascii="Segoe UI" w:hAnsi="Segoe UI" w:cs="Segoe UI"/>
          <w:color w:val="374151"/>
        </w:rPr>
        <w:t xml:space="preserve"> A company's financial performance, including its earnings reports and revenue growth, has a significant impact on its share price. Positive earnings surprises often lead to share price increases, while disappointing results can cause declines.</w:t>
      </w:r>
    </w:p>
    <w:p w14:paraId="601843D6" w14:textId="77777777" w:rsidR="00F13FAD" w:rsidRDefault="00F13FAD" w:rsidP="00F13FAD">
      <w:pPr>
        <w:pStyle w:val="NormalWeb"/>
        <w:numPr>
          <w:ilvl w:val="0"/>
          <w:numId w:val="22"/>
        </w:numPr>
        <w:spacing w:before="0" w:beforeAutospacing="0" w:after="0" w:afterAutospacing="0"/>
        <w:ind w:left="0"/>
        <w:jc w:val="both"/>
        <w:rPr>
          <w:rFonts w:ascii="Segoe UI" w:hAnsi="Segoe UI" w:cs="Segoe UI"/>
          <w:color w:val="374151"/>
        </w:rPr>
      </w:pPr>
      <w:r w:rsidRPr="005F11F6">
        <w:rPr>
          <w:rStyle w:val="Strong"/>
          <w:rFonts w:ascii="Segoe UI" w:hAnsi="Segoe UI" w:cs="Segoe UI"/>
          <w:color w:val="374151"/>
        </w:rPr>
        <w:t>Market Sentiment:</w:t>
      </w:r>
      <w:r>
        <w:rPr>
          <w:rFonts w:ascii="Segoe UI" w:hAnsi="Segoe UI" w:cs="Segoe UI"/>
          <w:color w:val="374151"/>
        </w:rPr>
        <w:t xml:space="preserve"> Market sentiment and investor psychology play a crucial role in share price movements. Positive sentiment can drive buying interest, while negative sentiment can lead to selling pressure.</w:t>
      </w:r>
    </w:p>
    <w:p w14:paraId="1DEF5F95" w14:textId="77777777" w:rsidR="00F13FAD" w:rsidRDefault="00F13FAD" w:rsidP="00F13FAD">
      <w:pPr>
        <w:pStyle w:val="NormalWeb"/>
        <w:numPr>
          <w:ilvl w:val="0"/>
          <w:numId w:val="22"/>
        </w:numPr>
        <w:spacing w:before="0" w:beforeAutospacing="0" w:after="0" w:afterAutospacing="0"/>
        <w:ind w:left="0"/>
        <w:jc w:val="both"/>
        <w:rPr>
          <w:rFonts w:ascii="Segoe UI" w:hAnsi="Segoe UI" w:cs="Segoe UI"/>
          <w:color w:val="374151"/>
        </w:rPr>
      </w:pPr>
      <w:r w:rsidRPr="005F11F6">
        <w:rPr>
          <w:rStyle w:val="Strong"/>
          <w:rFonts w:ascii="Segoe UI" w:hAnsi="Segoe UI" w:cs="Segoe UI"/>
          <w:color w:val="374151"/>
        </w:rPr>
        <w:t>Economic Conditions:</w:t>
      </w:r>
      <w:r>
        <w:rPr>
          <w:rFonts w:ascii="Segoe UI" w:hAnsi="Segoe UI" w:cs="Segoe UI"/>
          <w:color w:val="374151"/>
        </w:rPr>
        <w:t xml:space="preserve"> Broader economic factors, such as GDP growth, inflation, interest rates, and unemployment rates, can influence share prices. For example, a robust economy may support higher share prices, while economic downturns can lead to declines.</w:t>
      </w:r>
    </w:p>
    <w:p w14:paraId="03328DC1" w14:textId="77777777" w:rsidR="00F13FAD" w:rsidRDefault="00F13FAD" w:rsidP="00F13FAD">
      <w:pPr>
        <w:pStyle w:val="NormalWeb"/>
        <w:numPr>
          <w:ilvl w:val="0"/>
          <w:numId w:val="22"/>
        </w:numPr>
        <w:spacing w:before="0" w:beforeAutospacing="0" w:after="0" w:afterAutospacing="0"/>
        <w:ind w:left="0"/>
        <w:jc w:val="both"/>
        <w:rPr>
          <w:rFonts w:ascii="Segoe UI" w:hAnsi="Segoe UI" w:cs="Segoe UI"/>
          <w:color w:val="374151"/>
        </w:rPr>
      </w:pPr>
      <w:r w:rsidRPr="005F11F6">
        <w:rPr>
          <w:rStyle w:val="Strong"/>
          <w:rFonts w:ascii="Segoe UI" w:hAnsi="Segoe UI" w:cs="Segoe UI"/>
          <w:color w:val="374151"/>
        </w:rPr>
        <w:t>Industry and Sector Performance:</w:t>
      </w:r>
      <w:r>
        <w:rPr>
          <w:rFonts w:ascii="Segoe UI" w:hAnsi="Segoe UI" w:cs="Segoe UI"/>
          <w:color w:val="374151"/>
        </w:rPr>
        <w:t xml:space="preserve"> The performance of specific industries or sectors can affect share prices. Companies operating in a strong sector may see their shares rise, while those in struggling sectors may experience declines.</w:t>
      </w:r>
    </w:p>
    <w:p w14:paraId="4574E88C" w14:textId="77777777" w:rsidR="00F13FAD" w:rsidRDefault="00F13FAD" w:rsidP="00F13FAD">
      <w:pPr>
        <w:pStyle w:val="NormalWeb"/>
        <w:numPr>
          <w:ilvl w:val="0"/>
          <w:numId w:val="22"/>
        </w:numPr>
        <w:spacing w:before="0" w:beforeAutospacing="0" w:after="0" w:afterAutospacing="0"/>
        <w:ind w:left="0"/>
        <w:jc w:val="both"/>
        <w:rPr>
          <w:rFonts w:ascii="Segoe UI" w:hAnsi="Segoe UI" w:cs="Segoe UI"/>
          <w:color w:val="374151"/>
        </w:rPr>
      </w:pPr>
      <w:r w:rsidRPr="005F11F6">
        <w:rPr>
          <w:rStyle w:val="Strong"/>
          <w:rFonts w:ascii="Segoe UI" w:hAnsi="Segoe UI" w:cs="Segoe UI"/>
          <w:color w:val="374151"/>
        </w:rPr>
        <w:t>Company News and Events:</w:t>
      </w:r>
      <w:r>
        <w:rPr>
          <w:rFonts w:ascii="Segoe UI" w:hAnsi="Segoe UI" w:cs="Segoe UI"/>
          <w:color w:val="374151"/>
        </w:rPr>
        <w:t xml:space="preserve"> Corporate announcements, product launches, mergers and acquisitions, and changes in leadership can have a direct impact on share prices. Positive news often leads to share price appreciation, while negative news can result in declines.</w:t>
      </w:r>
    </w:p>
    <w:p w14:paraId="310A2EFC" w14:textId="77777777" w:rsidR="00F13FAD" w:rsidRDefault="00F13FAD" w:rsidP="00F13FAD">
      <w:pPr>
        <w:pStyle w:val="NormalWeb"/>
        <w:numPr>
          <w:ilvl w:val="0"/>
          <w:numId w:val="22"/>
        </w:numPr>
        <w:spacing w:before="0" w:beforeAutospacing="0" w:after="0" w:afterAutospacing="0"/>
        <w:ind w:left="0"/>
        <w:jc w:val="both"/>
        <w:rPr>
          <w:rFonts w:ascii="Segoe UI" w:hAnsi="Segoe UI" w:cs="Segoe UI"/>
          <w:color w:val="374151"/>
        </w:rPr>
      </w:pPr>
      <w:r w:rsidRPr="005F11F6">
        <w:rPr>
          <w:rStyle w:val="Strong"/>
          <w:rFonts w:ascii="Segoe UI" w:hAnsi="Segoe UI" w:cs="Segoe UI"/>
          <w:color w:val="374151"/>
        </w:rPr>
        <w:t>Dividend Payments:</w:t>
      </w:r>
      <w:r>
        <w:rPr>
          <w:rFonts w:ascii="Segoe UI" w:hAnsi="Segoe UI" w:cs="Segoe UI"/>
          <w:color w:val="374151"/>
        </w:rPr>
        <w:t xml:space="preserve"> Dividend announcements, changes in dividend policies, and dividend yields can influence investor interest in a stock. Companies with a history of consistent dividend payments may attract income-seeking investors.</w:t>
      </w:r>
    </w:p>
    <w:p w14:paraId="6EB94825" w14:textId="77777777" w:rsidR="00F13FAD" w:rsidRDefault="00F13FAD" w:rsidP="00F13FAD">
      <w:pPr>
        <w:pStyle w:val="NormalWeb"/>
        <w:numPr>
          <w:ilvl w:val="0"/>
          <w:numId w:val="22"/>
        </w:numPr>
        <w:spacing w:before="0" w:beforeAutospacing="0" w:after="0" w:afterAutospacing="0"/>
        <w:ind w:left="0"/>
        <w:jc w:val="both"/>
        <w:rPr>
          <w:rFonts w:ascii="Segoe UI" w:hAnsi="Segoe UI" w:cs="Segoe UI"/>
          <w:color w:val="374151"/>
        </w:rPr>
      </w:pPr>
      <w:r w:rsidRPr="005F11F6">
        <w:rPr>
          <w:rStyle w:val="Strong"/>
          <w:rFonts w:ascii="Segoe UI" w:hAnsi="Segoe UI" w:cs="Segoe UI"/>
          <w:color w:val="374151"/>
        </w:rPr>
        <w:t>Market and Investor Trends:</w:t>
      </w:r>
      <w:r>
        <w:rPr>
          <w:rFonts w:ascii="Segoe UI" w:hAnsi="Segoe UI" w:cs="Segoe UI"/>
          <w:color w:val="374151"/>
        </w:rPr>
        <w:t xml:space="preserve"> Market trends, such as growth or value investing, can influence investor preferences and impact share prices. Additionally, trends in factors like environmental, social, and governance (ESG) investing can affect certain stocks.</w:t>
      </w:r>
    </w:p>
    <w:p w14:paraId="5511A209" w14:textId="77777777" w:rsidR="00F13FAD" w:rsidRDefault="00F13FAD" w:rsidP="00F13FAD">
      <w:pPr>
        <w:pStyle w:val="NormalWeb"/>
        <w:numPr>
          <w:ilvl w:val="0"/>
          <w:numId w:val="22"/>
        </w:numPr>
        <w:spacing w:before="0" w:beforeAutospacing="0" w:after="0" w:afterAutospacing="0"/>
        <w:ind w:left="0"/>
        <w:jc w:val="both"/>
        <w:rPr>
          <w:rFonts w:ascii="Segoe UI" w:hAnsi="Segoe UI" w:cs="Segoe UI"/>
          <w:color w:val="374151"/>
        </w:rPr>
      </w:pPr>
      <w:r w:rsidRPr="005F11F6">
        <w:rPr>
          <w:rStyle w:val="Strong"/>
          <w:rFonts w:ascii="Segoe UI" w:hAnsi="Segoe UI" w:cs="Segoe UI"/>
          <w:color w:val="374151"/>
        </w:rPr>
        <w:t>Political and Regulatory Factors:</w:t>
      </w:r>
      <w:r>
        <w:rPr>
          <w:rFonts w:ascii="Segoe UI" w:hAnsi="Segoe UI" w:cs="Segoe UI"/>
          <w:color w:val="374151"/>
        </w:rPr>
        <w:t xml:space="preserve"> Government policies, regulations, and political events can impact specific industries or the overall market. Changes in tax policies, trade agreements, or regulations can affect company profits and share prices.</w:t>
      </w:r>
    </w:p>
    <w:p w14:paraId="20821102" w14:textId="77777777" w:rsidR="00F13FAD" w:rsidRDefault="00F13FAD" w:rsidP="00F13FAD">
      <w:pPr>
        <w:pStyle w:val="NormalWeb"/>
        <w:numPr>
          <w:ilvl w:val="0"/>
          <w:numId w:val="22"/>
        </w:numPr>
        <w:spacing w:before="0" w:beforeAutospacing="0" w:after="0" w:afterAutospacing="0"/>
        <w:ind w:left="0"/>
        <w:jc w:val="both"/>
        <w:rPr>
          <w:rFonts w:ascii="Segoe UI" w:hAnsi="Segoe UI" w:cs="Segoe UI"/>
          <w:color w:val="374151"/>
        </w:rPr>
      </w:pPr>
      <w:r w:rsidRPr="005F11F6">
        <w:rPr>
          <w:rStyle w:val="Strong"/>
          <w:rFonts w:ascii="Segoe UI" w:hAnsi="Segoe UI" w:cs="Segoe UI"/>
          <w:color w:val="374151"/>
        </w:rPr>
        <w:t>Global Events and Geopolitics:</w:t>
      </w:r>
      <w:r>
        <w:rPr>
          <w:rFonts w:ascii="Segoe UI" w:hAnsi="Segoe UI" w:cs="Segoe UI"/>
          <w:color w:val="374151"/>
        </w:rPr>
        <w:t xml:space="preserve"> Events such as geopolitical conflicts, trade tensions, and natural disasters can have a profound impact on global markets and investor sentiment.</w:t>
      </w:r>
    </w:p>
    <w:p w14:paraId="38D3361F" w14:textId="77777777" w:rsidR="00F13FAD" w:rsidRDefault="00F13FAD" w:rsidP="00F13FAD">
      <w:pPr>
        <w:pStyle w:val="NormalWeb"/>
        <w:numPr>
          <w:ilvl w:val="0"/>
          <w:numId w:val="22"/>
        </w:numPr>
        <w:spacing w:before="0" w:beforeAutospacing="0" w:after="0" w:afterAutospacing="0"/>
        <w:ind w:left="0"/>
        <w:jc w:val="both"/>
        <w:rPr>
          <w:rFonts w:ascii="Segoe UI" w:hAnsi="Segoe UI" w:cs="Segoe UI"/>
          <w:color w:val="374151"/>
        </w:rPr>
      </w:pPr>
      <w:r w:rsidRPr="005F11F6">
        <w:rPr>
          <w:rStyle w:val="Strong"/>
          <w:rFonts w:ascii="Segoe UI" w:hAnsi="Segoe UI" w:cs="Segoe UI"/>
          <w:color w:val="374151"/>
        </w:rPr>
        <w:t>Technical Factors:</w:t>
      </w:r>
      <w:r>
        <w:rPr>
          <w:rFonts w:ascii="Segoe UI" w:hAnsi="Segoe UI" w:cs="Segoe UI"/>
          <w:color w:val="374151"/>
        </w:rPr>
        <w:t xml:space="preserve"> Technical analysis, which examines historical price patterns, trading volumes, and technical indicators, can influence short-term share price movements as traders use these factors to make trading decisions.</w:t>
      </w:r>
    </w:p>
    <w:p w14:paraId="19D0062D" w14:textId="77777777" w:rsidR="00F13FAD" w:rsidRDefault="00F13FAD" w:rsidP="00F13FAD">
      <w:pPr>
        <w:pStyle w:val="NormalWeb"/>
        <w:numPr>
          <w:ilvl w:val="0"/>
          <w:numId w:val="22"/>
        </w:numPr>
        <w:spacing w:before="0" w:beforeAutospacing="0" w:after="0" w:afterAutospacing="0"/>
        <w:ind w:left="0"/>
        <w:jc w:val="both"/>
        <w:rPr>
          <w:rFonts w:ascii="Segoe UI" w:hAnsi="Segoe UI" w:cs="Segoe UI"/>
          <w:color w:val="374151"/>
        </w:rPr>
      </w:pPr>
      <w:r w:rsidRPr="005F11F6">
        <w:rPr>
          <w:rStyle w:val="Strong"/>
          <w:rFonts w:ascii="Segoe UI" w:hAnsi="Segoe UI" w:cs="Segoe UI"/>
          <w:color w:val="374151"/>
        </w:rPr>
        <w:t>Market Supply and Demand:</w:t>
      </w:r>
      <w:r>
        <w:rPr>
          <w:rFonts w:ascii="Segoe UI" w:hAnsi="Segoe UI" w:cs="Segoe UI"/>
          <w:color w:val="374151"/>
        </w:rPr>
        <w:t xml:space="preserve"> Share prices are influenced by the basic principles of supply and demand. When more investors want to buy a stock (demand) than sell it (supply), the share price tends to rise, and vice versa.</w:t>
      </w:r>
    </w:p>
    <w:p w14:paraId="5C89A7B0" w14:textId="77777777" w:rsidR="00F13FAD" w:rsidRDefault="00F13FAD" w:rsidP="00F13FAD">
      <w:pPr>
        <w:pStyle w:val="NormalWeb"/>
        <w:numPr>
          <w:ilvl w:val="0"/>
          <w:numId w:val="22"/>
        </w:numPr>
        <w:spacing w:before="0" w:beforeAutospacing="0" w:after="0" w:afterAutospacing="0"/>
        <w:ind w:left="0"/>
        <w:jc w:val="both"/>
        <w:rPr>
          <w:rFonts w:ascii="Segoe UI" w:hAnsi="Segoe UI" w:cs="Segoe UI"/>
          <w:color w:val="374151"/>
        </w:rPr>
      </w:pPr>
      <w:r w:rsidRPr="005F11F6">
        <w:rPr>
          <w:rStyle w:val="Strong"/>
          <w:rFonts w:ascii="Segoe UI" w:hAnsi="Segoe UI" w:cs="Segoe UI"/>
          <w:color w:val="374151"/>
        </w:rPr>
        <w:t>Speculation:</w:t>
      </w:r>
      <w:r>
        <w:rPr>
          <w:rFonts w:ascii="Segoe UI" w:hAnsi="Segoe UI" w:cs="Segoe UI"/>
          <w:color w:val="374151"/>
        </w:rPr>
        <w:t xml:space="preserve"> Speculative trading, driven by rumors, market gossip, or social media chatter, can lead to rapid and sometimes irrational share price movements.</w:t>
      </w:r>
    </w:p>
    <w:p w14:paraId="27F305BF" w14:textId="77777777" w:rsidR="00F13FAD" w:rsidRDefault="00F13FAD" w:rsidP="00F13FAD">
      <w:pPr>
        <w:pStyle w:val="NormalWeb"/>
        <w:numPr>
          <w:ilvl w:val="0"/>
          <w:numId w:val="22"/>
        </w:numPr>
        <w:spacing w:before="0" w:beforeAutospacing="0" w:after="0" w:afterAutospacing="0"/>
        <w:ind w:left="0"/>
        <w:jc w:val="both"/>
        <w:rPr>
          <w:rFonts w:ascii="Segoe UI" w:hAnsi="Segoe UI" w:cs="Segoe UI"/>
          <w:color w:val="374151"/>
        </w:rPr>
      </w:pPr>
      <w:r w:rsidRPr="005F11F6">
        <w:rPr>
          <w:rStyle w:val="Strong"/>
          <w:rFonts w:ascii="Segoe UI" w:hAnsi="Segoe UI" w:cs="Segoe UI"/>
          <w:color w:val="374151"/>
        </w:rPr>
        <w:t>Currency Exchange Rates:</w:t>
      </w:r>
      <w:r>
        <w:rPr>
          <w:rFonts w:ascii="Segoe UI" w:hAnsi="Segoe UI" w:cs="Segoe UI"/>
          <w:color w:val="374151"/>
        </w:rPr>
        <w:t xml:space="preserve"> For companies with significant international operations, fluctuations in currency exchange rates can impact their financial results, which in turn can affect share prices.</w:t>
      </w:r>
    </w:p>
    <w:p w14:paraId="31303F10" w14:textId="77777777" w:rsidR="00F13FAD" w:rsidRDefault="00F13FAD" w:rsidP="00F13FAD">
      <w:pPr>
        <w:pStyle w:val="NormalWeb"/>
        <w:spacing w:before="300" w:beforeAutospacing="0" w:after="0" w:afterAutospacing="0"/>
        <w:jc w:val="both"/>
        <w:rPr>
          <w:rFonts w:ascii="Segoe UI" w:hAnsi="Segoe UI" w:cs="Segoe UI"/>
          <w:color w:val="374151"/>
        </w:rPr>
      </w:pPr>
      <w:r>
        <w:rPr>
          <w:rFonts w:ascii="Segoe UI" w:hAnsi="Segoe UI" w:cs="Segoe UI"/>
          <w:color w:val="374151"/>
        </w:rPr>
        <w:t>It's important to note that share prices are influenced by a complex interplay of these and other factors. Investors should conduct thorough research, diversify their portfolios, and consider their investment goals and risk tolerance when making investment decisions in the stock market. Additionally, they should be prepared for share prices to fluctuate over time as market conditions change</w:t>
      </w:r>
    </w:p>
    <w:p w14:paraId="22F01804" w14:textId="77777777" w:rsidR="00F13FAD" w:rsidRDefault="00F13FAD" w:rsidP="00F13FAD">
      <w:pPr>
        <w:jc w:val="both"/>
      </w:pPr>
    </w:p>
    <w:p w14:paraId="6FD604B4" w14:textId="77777777" w:rsidR="00F13FAD" w:rsidRPr="00BE3CF7" w:rsidRDefault="00F13FAD" w:rsidP="00F13FAD">
      <w:pPr>
        <w:jc w:val="both"/>
        <w:rPr>
          <w:b/>
          <w:sz w:val="28"/>
          <w:szCs w:val="28"/>
          <w:u w:val="single"/>
        </w:rPr>
      </w:pPr>
      <w:r w:rsidRPr="00BE3CF7">
        <w:rPr>
          <w:b/>
          <w:sz w:val="28"/>
          <w:szCs w:val="28"/>
          <w:u w:val="single"/>
        </w:rPr>
        <w:t>Balance Sheet Valuation</w:t>
      </w:r>
    </w:p>
    <w:p w14:paraId="007F5086" w14:textId="77777777" w:rsidR="00F13FAD" w:rsidRDefault="00F13FAD" w:rsidP="00F13FAD">
      <w:pPr>
        <w:pStyle w:val="ListParagraph"/>
        <w:widowControl/>
        <w:numPr>
          <w:ilvl w:val="0"/>
          <w:numId w:val="23"/>
        </w:numPr>
        <w:autoSpaceDE/>
        <w:autoSpaceDN/>
        <w:spacing w:before="0" w:after="160" w:line="259" w:lineRule="auto"/>
        <w:contextualSpacing/>
        <w:jc w:val="both"/>
      </w:pPr>
      <w:r>
        <w:t>It is based on basic assumption that company is dissolved (shut down) with immediate effect.</w:t>
      </w:r>
    </w:p>
    <w:p w14:paraId="2F40E425" w14:textId="77777777" w:rsidR="00F13FAD" w:rsidRDefault="00F13FAD" w:rsidP="00F13FAD">
      <w:pPr>
        <w:pStyle w:val="ListParagraph"/>
        <w:widowControl/>
        <w:numPr>
          <w:ilvl w:val="0"/>
          <w:numId w:val="23"/>
        </w:numPr>
        <w:autoSpaceDE/>
        <w:autoSpaceDN/>
        <w:spacing w:before="0" w:after="160" w:line="259" w:lineRule="auto"/>
        <w:contextualSpacing/>
        <w:jc w:val="both"/>
      </w:pPr>
      <w:r>
        <w:t>Intrinsic value of share is the net amount left for the equity shareholders after selling all the assets and clearing off all the liabilities as well as clearing off all the payment to preference shareholders.</w:t>
      </w:r>
    </w:p>
    <w:p w14:paraId="677D3383" w14:textId="77777777" w:rsidR="00F13FAD" w:rsidRPr="002E2B91" w:rsidRDefault="00F13FAD" w:rsidP="00F13FAD">
      <w:pPr>
        <w:pStyle w:val="ListParagraph"/>
        <w:widowControl/>
        <w:numPr>
          <w:ilvl w:val="0"/>
          <w:numId w:val="23"/>
        </w:numPr>
        <w:autoSpaceDE/>
        <w:autoSpaceDN/>
        <w:spacing w:before="0" w:after="160" w:line="259" w:lineRule="auto"/>
        <w:contextualSpacing/>
        <w:jc w:val="both"/>
      </w:pPr>
      <w:r>
        <w:t>It is known as “Intrins</w:t>
      </w:r>
      <w:r w:rsidRPr="002E2B91">
        <w:t>ic value method” or ‘Asset backing method’ or ‘ Net assets method’</w:t>
      </w:r>
    </w:p>
    <w:p w14:paraId="492E064A" w14:textId="77777777" w:rsidR="00F13FAD" w:rsidRPr="002E2B91" w:rsidRDefault="00F13FAD" w:rsidP="00F13FAD">
      <w:pPr>
        <w:pStyle w:val="NormalWeb"/>
        <w:spacing w:before="300" w:beforeAutospacing="0" w:after="300" w:afterAutospacing="0"/>
        <w:jc w:val="both"/>
        <w:rPr>
          <w:rFonts w:ascii="Segoe UI" w:hAnsi="Segoe UI" w:cs="Segoe UI"/>
        </w:rPr>
      </w:pPr>
      <w:r w:rsidRPr="002E2B91">
        <w:t xml:space="preserve">Q.1 </w:t>
      </w:r>
      <w:r w:rsidRPr="002E2B91">
        <w:rPr>
          <w:rFonts w:ascii="Segoe UI" w:hAnsi="Segoe UI" w:cs="Segoe UI"/>
        </w:rPr>
        <w:t>Let's say you want to calculate the Net Asset Value of Company XYZ using the Net Asset Method. You have the following information:</w:t>
      </w:r>
    </w:p>
    <w:p w14:paraId="05B41104" w14:textId="77777777" w:rsidR="00F13FAD" w:rsidRPr="002E2B91" w:rsidRDefault="00F13FAD" w:rsidP="00F13FAD">
      <w:pPr>
        <w:numPr>
          <w:ilvl w:val="0"/>
          <w:numId w:val="30"/>
        </w:numPr>
        <w:spacing w:after="0" w:line="240" w:lineRule="auto"/>
        <w:ind w:left="0"/>
        <w:jc w:val="both"/>
        <w:rPr>
          <w:rFonts w:ascii="Segoe UI" w:eastAsia="Times New Roman" w:hAnsi="Segoe UI" w:cs="Segoe UI"/>
          <w:sz w:val="24"/>
          <w:szCs w:val="24"/>
          <w:lang w:val="en-IN" w:eastAsia="en-IN"/>
        </w:rPr>
      </w:pPr>
      <w:r w:rsidRPr="002E2B91">
        <w:rPr>
          <w:rFonts w:ascii="Segoe UI" w:eastAsia="Times New Roman" w:hAnsi="Segoe UI" w:cs="Segoe UI"/>
          <w:sz w:val="24"/>
          <w:szCs w:val="24"/>
          <w:lang w:val="en-IN" w:eastAsia="en-IN"/>
        </w:rPr>
        <w:t>Total Assets: $2,000,000</w:t>
      </w:r>
    </w:p>
    <w:p w14:paraId="67FD688B" w14:textId="77777777" w:rsidR="00F13FAD" w:rsidRPr="002E2B91" w:rsidRDefault="00F13FAD" w:rsidP="00F13FAD">
      <w:pPr>
        <w:numPr>
          <w:ilvl w:val="0"/>
          <w:numId w:val="30"/>
        </w:numPr>
        <w:spacing w:after="0" w:line="240" w:lineRule="auto"/>
        <w:ind w:left="0"/>
        <w:jc w:val="both"/>
        <w:rPr>
          <w:rFonts w:ascii="Segoe UI" w:eastAsia="Times New Roman" w:hAnsi="Segoe UI" w:cs="Segoe UI"/>
          <w:sz w:val="24"/>
          <w:szCs w:val="24"/>
          <w:lang w:val="en-IN" w:eastAsia="en-IN"/>
        </w:rPr>
      </w:pPr>
      <w:r w:rsidRPr="002E2B91">
        <w:rPr>
          <w:rFonts w:ascii="Segoe UI" w:eastAsia="Times New Roman" w:hAnsi="Segoe UI" w:cs="Segoe UI"/>
          <w:sz w:val="24"/>
          <w:szCs w:val="24"/>
          <w:lang w:val="en-IN" w:eastAsia="en-IN"/>
        </w:rPr>
        <w:t>Total Liabilities: $800,000</w:t>
      </w:r>
    </w:p>
    <w:p w14:paraId="7FA08F22" w14:textId="77777777" w:rsidR="00F13FAD" w:rsidRPr="002E2B91" w:rsidRDefault="00F13FAD" w:rsidP="00F13FAD">
      <w:pPr>
        <w:numPr>
          <w:ilvl w:val="0"/>
          <w:numId w:val="30"/>
        </w:numPr>
        <w:spacing w:after="0" w:line="240" w:lineRule="auto"/>
        <w:ind w:left="0"/>
        <w:jc w:val="both"/>
        <w:rPr>
          <w:rFonts w:ascii="Segoe UI" w:eastAsia="Times New Roman" w:hAnsi="Segoe UI" w:cs="Segoe UI"/>
          <w:sz w:val="24"/>
          <w:szCs w:val="24"/>
          <w:lang w:val="en-IN" w:eastAsia="en-IN"/>
        </w:rPr>
      </w:pPr>
      <w:r w:rsidRPr="002E2B91">
        <w:rPr>
          <w:rFonts w:ascii="Segoe UI" w:eastAsia="Times New Roman" w:hAnsi="Segoe UI" w:cs="Segoe UI"/>
          <w:sz w:val="24"/>
          <w:szCs w:val="24"/>
          <w:lang w:val="en-IN" w:eastAsia="en-IN"/>
        </w:rPr>
        <w:t>Number of Outstanding Shares: 100,000</w:t>
      </w:r>
    </w:p>
    <w:p w14:paraId="4DA0081B" w14:textId="77777777" w:rsidR="00F13FAD" w:rsidRPr="002E2B91" w:rsidRDefault="00F13FAD" w:rsidP="00F13FAD">
      <w:pPr>
        <w:numPr>
          <w:ilvl w:val="0"/>
          <w:numId w:val="31"/>
        </w:numPr>
        <w:spacing w:after="0" w:line="240" w:lineRule="auto"/>
        <w:ind w:left="0"/>
        <w:jc w:val="both"/>
        <w:rPr>
          <w:rFonts w:ascii="Segoe UI" w:eastAsia="Times New Roman" w:hAnsi="Segoe UI" w:cs="Segoe UI"/>
          <w:sz w:val="24"/>
          <w:szCs w:val="24"/>
          <w:lang w:val="en-IN" w:eastAsia="en-IN"/>
        </w:rPr>
      </w:pPr>
      <w:r w:rsidRPr="002E2B91">
        <w:rPr>
          <w:rFonts w:ascii="Segoe UI" w:eastAsia="Times New Roman" w:hAnsi="Segoe UI" w:cs="Segoe UI"/>
          <w:sz w:val="24"/>
          <w:szCs w:val="24"/>
          <w:lang w:val="en-IN" w:eastAsia="en-IN"/>
        </w:rPr>
        <w:t>Calculate the Net Assets: Net Assets = Total Assets - Total Liabilities Net Assets = $2,000,000 - $800,000 Net Assets = $1,200,000</w:t>
      </w:r>
    </w:p>
    <w:p w14:paraId="0F63DE49" w14:textId="77777777" w:rsidR="00F13FAD" w:rsidRPr="002E2B91" w:rsidRDefault="00F13FAD" w:rsidP="00F13FAD">
      <w:pPr>
        <w:numPr>
          <w:ilvl w:val="0"/>
          <w:numId w:val="31"/>
        </w:numPr>
        <w:spacing w:after="0" w:line="240" w:lineRule="auto"/>
        <w:ind w:left="0"/>
        <w:jc w:val="both"/>
        <w:rPr>
          <w:rFonts w:ascii="Segoe UI" w:eastAsia="Times New Roman" w:hAnsi="Segoe UI" w:cs="Segoe UI"/>
          <w:sz w:val="24"/>
          <w:szCs w:val="24"/>
          <w:lang w:val="en-IN" w:eastAsia="en-IN"/>
        </w:rPr>
      </w:pPr>
      <w:r w:rsidRPr="002E2B91">
        <w:rPr>
          <w:rFonts w:ascii="Segoe UI" w:eastAsia="Times New Roman" w:hAnsi="Segoe UI" w:cs="Segoe UI"/>
          <w:sz w:val="24"/>
          <w:szCs w:val="24"/>
          <w:lang w:val="en-IN" w:eastAsia="en-IN"/>
        </w:rPr>
        <w:t>Determine the Net Asset Value Per Share: Net Asset Value Per Share = Net Assets / Number of Outstanding Shares Net Asset Value Per Share = $1,200,000 / 100,000 Net Asset Value Per Share = $12</w:t>
      </w:r>
    </w:p>
    <w:p w14:paraId="05534E45" w14:textId="77777777" w:rsidR="00F13FAD" w:rsidRDefault="00F13FAD" w:rsidP="00F13FAD">
      <w:pPr>
        <w:spacing w:before="300" w:after="300" w:line="240" w:lineRule="auto"/>
        <w:jc w:val="both"/>
        <w:rPr>
          <w:rFonts w:ascii="Segoe UI" w:eastAsia="Times New Roman" w:hAnsi="Segoe UI" w:cs="Segoe UI"/>
          <w:sz w:val="24"/>
          <w:szCs w:val="24"/>
          <w:lang w:val="en-IN" w:eastAsia="en-IN"/>
        </w:rPr>
      </w:pPr>
      <w:r w:rsidRPr="002E2B91">
        <w:rPr>
          <w:rFonts w:ascii="Segoe UI" w:eastAsia="Times New Roman" w:hAnsi="Segoe UI" w:cs="Segoe UI"/>
          <w:sz w:val="24"/>
          <w:szCs w:val="24"/>
          <w:lang w:val="en-IN" w:eastAsia="en-IN"/>
        </w:rPr>
        <w:t>The Net Asset Value (NAV) per share for Company XYZ is $12. This means that, based on the Net Asset Method, each share of Company XYZ is worth $12 when considering its net assets</w:t>
      </w:r>
    </w:p>
    <w:p w14:paraId="67EE65EF" w14:textId="77777777" w:rsidR="00F13FAD" w:rsidRPr="00BE3CF7" w:rsidRDefault="00F13FAD" w:rsidP="00F13FAD">
      <w:pPr>
        <w:jc w:val="both"/>
        <w:rPr>
          <w:b/>
          <w:sz w:val="28"/>
          <w:szCs w:val="28"/>
          <w:u w:val="single"/>
        </w:rPr>
      </w:pPr>
      <w:r w:rsidRPr="00BE3CF7">
        <w:rPr>
          <w:b/>
          <w:sz w:val="28"/>
          <w:szCs w:val="28"/>
          <w:u w:val="single"/>
        </w:rPr>
        <w:t>Dividend discount model (zero growth, constant growth &amp; multiple growth)</w:t>
      </w:r>
    </w:p>
    <w:p w14:paraId="3FC97CDB" w14:textId="77777777" w:rsidR="00F13FAD" w:rsidRDefault="00F13FAD" w:rsidP="00F13FAD">
      <w:pPr>
        <w:jc w:val="both"/>
      </w:pPr>
      <w:r>
        <w:t>It is a process used to value price of a share by using predicted dividends.  These dividends are then discounted to get present value of future dividends</w:t>
      </w:r>
    </w:p>
    <w:p w14:paraId="2FC7C124" w14:textId="77777777" w:rsidR="00F13FAD" w:rsidRDefault="00F13FAD" w:rsidP="00F13FAD">
      <w:pPr>
        <w:jc w:val="both"/>
      </w:pPr>
      <w:r>
        <w:rPr>
          <w:noProof/>
        </w:rPr>
        <w:drawing>
          <wp:inline distT="0" distB="0" distL="0" distR="0" wp14:anchorId="42DF38E5" wp14:editId="08966FDA">
            <wp:extent cx="5486400" cy="3200400"/>
            <wp:effectExtent l="0" t="0" r="7620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14:paraId="1D4944EB" w14:textId="77777777" w:rsidR="00F13FAD" w:rsidRPr="00BE3CF7" w:rsidRDefault="00F13FAD" w:rsidP="00F13FAD">
      <w:pPr>
        <w:jc w:val="both"/>
        <w:rPr>
          <w:b/>
          <w:sz w:val="24"/>
          <w:szCs w:val="24"/>
        </w:rPr>
      </w:pPr>
      <w:r w:rsidRPr="00BE3CF7">
        <w:rPr>
          <w:b/>
          <w:sz w:val="24"/>
          <w:szCs w:val="24"/>
        </w:rPr>
        <w:t>Zero Growth Model</w:t>
      </w:r>
    </w:p>
    <w:p w14:paraId="1EE59FC0" w14:textId="77777777" w:rsidR="00F13FAD" w:rsidRPr="00BE3CF7" w:rsidRDefault="00F13FAD" w:rsidP="00F13FAD">
      <w:pPr>
        <w:spacing w:after="300" w:line="240" w:lineRule="auto"/>
        <w:jc w:val="both"/>
        <w:rPr>
          <w:rFonts w:ascii="Segoe UI" w:eastAsia="Times New Roman" w:hAnsi="Segoe UI" w:cs="Segoe UI"/>
          <w:sz w:val="21"/>
          <w:szCs w:val="21"/>
          <w:lang w:val="en-IN" w:eastAsia="en-IN"/>
        </w:rPr>
      </w:pPr>
      <w:r w:rsidRPr="00BE3CF7">
        <w:rPr>
          <w:rFonts w:ascii="Segoe UI" w:eastAsia="Times New Roman" w:hAnsi="Segoe UI" w:cs="Segoe UI"/>
          <w:sz w:val="21"/>
          <w:szCs w:val="21"/>
          <w:lang w:val="en-IN" w:eastAsia="en-IN"/>
        </w:rPr>
        <w:t>The zero growth model in stock valuation, also known as the Gordon Growth Model or the Gordon-Shapiro Model, is a method used to estimate the intrinsic value of a stock based on the assumption that the stock will not experience any future growth in its dividends or earnings. This model is particularly useful for valuing mature and stable dividend-paying stocks. Here's how the zero growth model works:</w:t>
      </w:r>
    </w:p>
    <w:p w14:paraId="6A2E3AF3" w14:textId="77777777" w:rsidR="00F13FAD" w:rsidRPr="00BE3CF7" w:rsidRDefault="00F13FAD" w:rsidP="00F13FAD">
      <w:pPr>
        <w:spacing w:after="300" w:line="240" w:lineRule="auto"/>
        <w:jc w:val="both"/>
        <w:rPr>
          <w:rFonts w:ascii="Segoe UI" w:eastAsia="Times New Roman" w:hAnsi="Segoe UI" w:cs="Segoe UI"/>
          <w:sz w:val="21"/>
          <w:szCs w:val="21"/>
          <w:lang w:val="en-IN" w:eastAsia="en-IN"/>
        </w:rPr>
      </w:pPr>
      <w:r w:rsidRPr="00BE3CF7">
        <w:rPr>
          <w:rFonts w:ascii="Segoe UI" w:eastAsia="Times New Roman" w:hAnsi="Segoe UI" w:cs="Segoe UI"/>
          <w:b/>
          <w:bCs/>
          <w:sz w:val="21"/>
          <w:szCs w:val="21"/>
          <w:lang w:val="en-IN" w:eastAsia="en-IN"/>
        </w:rPr>
        <w:t>Formula for the Zero Growth Model:</w:t>
      </w:r>
    </w:p>
    <w:p w14:paraId="0A9870F2" w14:textId="77777777" w:rsidR="00F13FAD" w:rsidRPr="00BE3CF7" w:rsidRDefault="00F13FAD" w:rsidP="00F13FAD">
      <w:pPr>
        <w:spacing w:before="300" w:after="0" w:line="240" w:lineRule="auto"/>
        <w:jc w:val="both"/>
        <w:rPr>
          <w:rFonts w:ascii="Segoe UI" w:eastAsia="Times New Roman" w:hAnsi="Segoe UI" w:cs="Segoe UI"/>
          <w:sz w:val="21"/>
          <w:szCs w:val="21"/>
          <w:lang w:val="en-IN" w:eastAsia="en-IN"/>
        </w:rPr>
      </w:pPr>
      <w:r>
        <w:rPr>
          <w:rFonts w:ascii="Tahoma" w:eastAsia="Times New Roman" w:hAnsi="Tahoma" w:cs="Tahoma"/>
          <w:sz w:val="25"/>
          <w:szCs w:val="25"/>
          <w:bdr w:val="none" w:sz="0" w:space="0" w:color="auto" w:frame="1"/>
          <w:lang w:val="en-IN" w:eastAsia="en-IN"/>
        </w:rPr>
        <w:t>P = D / r</w:t>
      </w:r>
      <w:r w:rsidRPr="00BE3CF7">
        <w:rPr>
          <w:rFonts w:ascii="Times New Roman" w:eastAsia="Times New Roman" w:hAnsi="Times New Roman" w:cs="Times New Roman"/>
          <w:sz w:val="2"/>
          <w:szCs w:val="2"/>
          <w:bdr w:val="single" w:sz="2" w:space="0" w:color="D9D9E3" w:frame="1"/>
          <w:lang w:val="en-IN" w:eastAsia="en-IN"/>
        </w:rPr>
        <w:t>​</w:t>
      </w:r>
    </w:p>
    <w:p w14:paraId="1531A046" w14:textId="77777777" w:rsidR="00F13FAD" w:rsidRPr="00BE3CF7" w:rsidRDefault="00F13FAD" w:rsidP="00F13FAD">
      <w:pPr>
        <w:spacing w:before="300" w:after="0" w:line="240" w:lineRule="auto"/>
        <w:jc w:val="both"/>
        <w:rPr>
          <w:rFonts w:ascii="Segoe UI" w:eastAsia="Times New Roman" w:hAnsi="Segoe UI" w:cs="Segoe UI"/>
          <w:sz w:val="21"/>
          <w:szCs w:val="21"/>
          <w:lang w:val="en-IN" w:eastAsia="en-IN"/>
        </w:rPr>
      </w:pPr>
      <w:r w:rsidRPr="00BE3CF7">
        <w:rPr>
          <w:rFonts w:ascii="Segoe UI" w:eastAsia="Times New Roman" w:hAnsi="Segoe UI" w:cs="Segoe UI"/>
          <w:sz w:val="21"/>
          <w:szCs w:val="21"/>
          <w:lang w:val="en-IN" w:eastAsia="en-IN"/>
        </w:rPr>
        <w:t>Where:</w:t>
      </w:r>
    </w:p>
    <w:p w14:paraId="2BDE654A" w14:textId="77777777" w:rsidR="00F13FAD" w:rsidRPr="00BE3CF7" w:rsidRDefault="00F13FAD" w:rsidP="00F13FAD">
      <w:pPr>
        <w:numPr>
          <w:ilvl w:val="0"/>
          <w:numId w:val="24"/>
        </w:numPr>
        <w:spacing w:after="0" w:line="240" w:lineRule="auto"/>
        <w:ind w:left="0"/>
        <w:jc w:val="both"/>
        <w:rPr>
          <w:rFonts w:ascii="Segoe UI" w:eastAsia="Times New Roman" w:hAnsi="Segoe UI" w:cs="Segoe UI"/>
          <w:sz w:val="21"/>
          <w:szCs w:val="21"/>
          <w:lang w:val="en-IN" w:eastAsia="en-IN"/>
        </w:rPr>
      </w:pPr>
      <w:r w:rsidRPr="00BE3CF7">
        <w:rPr>
          <w:rFonts w:ascii="KaTeX_Math" w:eastAsia="Times New Roman" w:hAnsi="KaTeX_Math" w:cs="Times New Roman"/>
          <w:i/>
          <w:iCs/>
          <w:sz w:val="25"/>
          <w:szCs w:val="25"/>
          <w:lang w:val="en-IN" w:eastAsia="en-IN"/>
        </w:rPr>
        <w:t>P</w:t>
      </w:r>
      <w:r w:rsidRPr="00BE3CF7">
        <w:rPr>
          <w:rFonts w:ascii="Segoe UI" w:eastAsia="Times New Roman" w:hAnsi="Segoe UI" w:cs="Segoe UI"/>
          <w:sz w:val="21"/>
          <w:szCs w:val="21"/>
          <w:lang w:val="en-IN" w:eastAsia="en-IN"/>
        </w:rPr>
        <w:t xml:space="preserve"> represents the intrinsic value or price of the stock.</w:t>
      </w:r>
    </w:p>
    <w:p w14:paraId="0DE082C8" w14:textId="77777777" w:rsidR="00F13FAD" w:rsidRPr="00BE3CF7" w:rsidRDefault="00F13FAD" w:rsidP="00F13FAD">
      <w:pPr>
        <w:numPr>
          <w:ilvl w:val="0"/>
          <w:numId w:val="24"/>
        </w:numPr>
        <w:spacing w:after="0" w:line="240" w:lineRule="auto"/>
        <w:ind w:left="0"/>
        <w:jc w:val="both"/>
        <w:rPr>
          <w:rFonts w:ascii="Segoe UI" w:eastAsia="Times New Roman" w:hAnsi="Segoe UI" w:cs="Segoe UI"/>
          <w:sz w:val="21"/>
          <w:szCs w:val="21"/>
          <w:lang w:val="en-IN" w:eastAsia="en-IN"/>
        </w:rPr>
      </w:pPr>
      <w:r w:rsidRPr="00BE3CF7">
        <w:rPr>
          <w:rFonts w:ascii="KaTeX_Math" w:eastAsia="Times New Roman" w:hAnsi="KaTeX_Math" w:cs="Times New Roman"/>
          <w:i/>
          <w:iCs/>
          <w:sz w:val="25"/>
          <w:szCs w:val="25"/>
          <w:lang w:val="en-IN" w:eastAsia="en-IN"/>
        </w:rPr>
        <w:t>D</w:t>
      </w:r>
      <w:r w:rsidRPr="00BE3CF7">
        <w:rPr>
          <w:rFonts w:ascii="Segoe UI" w:eastAsia="Times New Roman" w:hAnsi="Segoe UI" w:cs="Segoe UI"/>
          <w:sz w:val="21"/>
          <w:szCs w:val="21"/>
          <w:lang w:val="en-IN" w:eastAsia="en-IN"/>
        </w:rPr>
        <w:t xml:space="preserve"> is the expected annual dividend payment.</w:t>
      </w:r>
    </w:p>
    <w:p w14:paraId="7905DD4A" w14:textId="77777777" w:rsidR="00F13FAD" w:rsidRPr="00BE3CF7" w:rsidRDefault="00F13FAD" w:rsidP="00F13FAD">
      <w:pPr>
        <w:numPr>
          <w:ilvl w:val="0"/>
          <w:numId w:val="24"/>
        </w:numPr>
        <w:spacing w:after="0" w:line="240" w:lineRule="auto"/>
        <w:ind w:left="0"/>
        <w:jc w:val="both"/>
        <w:rPr>
          <w:rFonts w:ascii="Segoe UI" w:eastAsia="Times New Roman" w:hAnsi="Segoe UI" w:cs="Segoe UI"/>
          <w:sz w:val="21"/>
          <w:szCs w:val="21"/>
          <w:lang w:val="en-IN" w:eastAsia="en-IN"/>
        </w:rPr>
      </w:pPr>
      <w:r w:rsidRPr="00BE3CF7">
        <w:rPr>
          <w:rFonts w:ascii="KaTeX_Math" w:eastAsia="Times New Roman" w:hAnsi="KaTeX_Math" w:cs="Times New Roman"/>
          <w:i/>
          <w:iCs/>
          <w:sz w:val="25"/>
          <w:szCs w:val="25"/>
          <w:lang w:val="en-IN" w:eastAsia="en-IN"/>
        </w:rPr>
        <w:t>r</w:t>
      </w:r>
      <w:r w:rsidRPr="00BE3CF7">
        <w:rPr>
          <w:rFonts w:ascii="Segoe UI" w:eastAsia="Times New Roman" w:hAnsi="Segoe UI" w:cs="Segoe UI"/>
          <w:sz w:val="21"/>
          <w:szCs w:val="21"/>
          <w:lang w:val="en-IN" w:eastAsia="en-IN"/>
        </w:rPr>
        <w:t xml:space="preserve"> is the required rate of return or discount rate for the investor.</w:t>
      </w:r>
    </w:p>
    <w:p w14:paraId="71074748" w14:textId="77777777" w:rsidR="00F13FAD" w:rsidRPr="00BE3CF7" w:rsidRDefault="00F13FAD" w:rsidP="00F13FAD">
      <w:pPr>
        <w:spacing w:before="300" w:after="0" w:line="240" w:lineRule="auto"/>
        <w:jc w:val="both"/>
        <w:rPr>
          <w:rFonts w:ascii="Segoe UI" w:eastAsia="Times New Roman" w:hAnsi="Segoe UI" w:cs="Segoe UI"/>
          <w:sz w:val="21"/>
          <w:szCs w:val="21"/>
          <w:lang w:val="en-IN" w:eastAsia="en-IN"/>
        </w:rPr>
      </w:pPr>
      <w:r w:rsidRPr="00BE3CF7">
        <w:rPr>
          <w:rFonts w:ascii="Segoe UI" w:eastAsia="Times New Roman" w:hAnsi="Segoe UI" w:cs="Segoe UI"/>
          <w:b/>
          <w:bCs/>
          <w:sz w:val="21"/>
          <w:szCs w:val="21"/>
          <w:lang w:val="en-IN" w:eastAsia="en-IN"/>
        </w:rPr>
        <w:t>Key Assumptions:</w:t>
      </w:r>
    </w:p>
    <w:p w14:paraId="3F468879" w14:textId="77777777" w:rsidR="00F13FAD" w:rsidRPr="00BE3CF7" w:rsidRDefault="00F13FAD" w:rsidP="00F13FAD">
      <w:pPr>
        <w:numPr>
          <w:ilvl w:val="0"/>
          <w:numId w:val="25"/>
        </w:numPr>
        <w:spacing w:after="0" w:line="240" w:lineRule="auto"/>
        <w:ind w:left="0"/>
        <w:jc w:val="both"/>
        <w:rPr>
          <w:rFonts w:ascii="Segoe UI" w:eastAsia="Times New Roman" w:hAnsi="Segoe UI" w:cs="Segoe UI"/>
          <w:sz w:val="21"/>
          <w:szCs w:val="21"/>
          <w:lang w:val="en-IN" w:eastAsia="en-IN"/>
        </w:rPr>
      </w:pPr>
      <w:r w:rsidRPr="00BE3CF7">
        <w:rPr>
          <w:rFonts w:ascii="Segoe UI" w:eastAsia="Times New Roman" w:hAnsi="Segoe UI" w:cs="Segoe UI"/>
          <w:b/>
          <w:bCs/>
          <w:sz w:val="21"/>
          <w:szCs w:val="21"/>
          <w:lang w:val="en-IN" w:eastAsia="en-IN"/>
        </w:rPr>
        <w:t>Zero Growth</w:t>
      </w:r>
      <w:r w:rsidRPr="00BE3CF7">
        <w:rPr>
          <w:rFonts w:ascii="Segoe UI" w:eastAsia="Times New Roman" w:hAnsi="Segoe UI" w:cs="Segoe UI"/>
          <w:sz w:val="21"/>
          <w:szCs w:val="21"/>
          <w:lang w:val="en-IN" w:eastAsia="en-IN"/>
        </w:rPr>
        <w:t>: The model assumes that the company's dividends will remain constant and not grow indefinitely into the future. This implies that the company has reached a mature stage where it no longer reinvests earnings for growth or that its growth is expected to be negligible.</w:t>
      </w:r>
    </w:p>
    <w:p w14:paraId="0FEE526A" w14:textId="77777777" w:rsidR="00F13FAD" w:rsidRPr="00BE3CF7" w:rsidRDefault="00F13FAD" w:rsidP="00F13FAD">
      <w:pPr>
        <w:numPr>
          <w:ilvl w:val="0"/>
          <w:numId w:val="25"/>
        </w:numPr>
        <w:spacing w:after="0" w:line="240" w:lineRule="auto"/>
        <w:ind w:left="0"/>
        <w:jc w:val="both"/>
        <w:rPr>
          <w:rFonts w:ascii="Segoe UI" w:eastAsia="Times New Roman" w:hAnsi="Segoe UI" w:cs="Segoe UI"/>
          <w:sz w:val="21"/>
          <w:szCs w:val="21"/>
          <w:lang w:val="en-IN" w:eastAsia="en-IN"/>
        </w:rPr>
      </w:pPr>
      <w:r w:rsidRPr="00BE3CF7">
        <w:rPr>
          <w:rFonts w:ascii="Segoe UI" w:eastAsia="Times New Roman" w:hAnsi="Segoe UI" w:cs="Segoe UI"/>
          <w:b/>
          <w:bCs/>
          <w:sz w:val="21"/>
          <w:szCs w:val="21"/>
          <w:lang w:val="en-IN" w:eastAsia="en-IN"/>
        </w:rPr>
        <w:t>Stability</w:t>
      </w:r>
      <w:r w:rsidRPr="00BE3CF7">
        <w:rPr>
          <w:rFonts w:ascii="Segoe UI" w:eastAsia="Times New Roman" w:hAnsi="Segoe UI" w:cs="Segoe UI"/>
          <w:sz w:val="21"/>
          <w:szCs w:val="21"/>
          <w:lang w:val="en-IN" w:eastAsia="en-IN"/>
        </w:rPr>
        <w:t>: The company is expected to maintain a stable and consistent dividend payment over time.</w:t>
      </w:r>
    </w:p>
    <w:p w14:paraId="44DC78C9" w14:textId="77777777" w:rsidR="00F13FAD" w:rsidRPr="00BE3CF7" w:rsidRDefault="00F13FAD" w:rsidP="00F13FAD">
      <w:pPr>
        <w:numPr>
          <w:ilvl w:val="0"/>
          <w:numId w:val="25"/>
        </w:numPr>
        <w:spacing w:after="0" w:line="240" w:lineRule="auto"/>
        <w:ind w:left="0"/>
        <w:jc w:val="both"/>
        <w:rPr>
          <w:rFonts w:ascii="Segoe UI" w:eastAsia="Times New Roman" w:hAnsi="Segoe UI" w:cs="Segoe UI"/>
          <w:sz w:val="21"/>
          <w:szCs w:val="21"/>
          <w:lang w:val="en-IN" w:eastAsia="en-IN"/>
        </w:rPr>
      </w:pPr>
      <w:r w:rsidRPr="00BE3CF7">
        <w:rPr>
          <w:rFonts w:ascii="Segoe UI" w:eastAsia="Times New Roman" w:hAnsi="Segoe UI" w:cs="Segoe UI"/>
          <w:b/>
          <w:bCs/>
          <w:sz w:val="21"/>
          <w:szCs w:val="21"/>
          <w:lang w:val="en-IN" w:eastAsia="en-IN"/>
        </w:rPr>
        <w:t>Constant Discount Rate</w:t>
      </w:r>
      <w:r w:rsidRPr="00BE3CF7">
        <w:rPr>
          <w:rFonts w:ascii="Segoe UI" w:eastAsia="Times New Roman" w:hAnsi="Segoe UI" w:cs="Segoe UI"/>
          <w:sz w:val="21"/>
          <w:szCs w:val="21"/>
          <w:lang w:val="en-IN" w:eastAsia="en-IN"/>
        </w:rPr>
        <w:t>: The discount rate (</w:t>
      </w:r>
      <w:r w:rsidRPr="00BE3CF7">
        <w:rPr>
          <w:rFonts w:ascii="Tahoma" w:eastAsia="Times New Roman" w:hAnsi="Tahoma" w:cs="Tahoma"/>
          <w:sz w:val="25"/>
          <w:szCs w:val="25"/>
          <w:bdr w:val="none" w:sz="0" w:space="0" w:color="auto" w:frame="1"/>
          <w:lang w:val="en-IN" w:eastAsia="en-IN"/>
        </w:rPr>
        <w:t>�</w:t>
      </w:r>
      <w:r w:rsidRPr="00BE3CF7">
        <w:rPr>
          <w:rFonts w:ascii="KaTeX_Math" w:eastAsia="Times New Roman" w:hAnsi="KaTeX_Math" w:cs="Times New Roman"/>
          <w:i/>
          <w:iCs/>
          <w:sz w:val="25"/>
          <w:szCs w:val="25"/>
          <w:bdr w:val="single" w:sz="2" w:space="0" w:color="D9D9E3" w:frame="1"/>
          <w:lang w:val="en-IN" w:eastAsia="en-IN"/>
        </w:rPr>
        <w:t>r</w:t>
      </w:r>
      <w:r w:rsidRPr="00BE3CF7">
        <w:rPr>
          <w:rFonts w:ascii="Segoe UI" w:eastAsia="Times New Roman" w:hAnsi="Segoe UI" w:cs="Segoe UI"/>
          <w:sz w:val="21"/>
          <w:szCs w:val="21"/>
          <w:lang w:val="en-IN" w:eastAsia="en-IN"/>
        </w:rPr>
        <w:t>) used in the formula is assumed to remain constant. This discount rate reflects the minimum rate of return that an investor expects to receive from the investment, taking into account the risk associated with the stock.</w:t>
      </w:r>
    </w:p>
    <w:p w14:paraId="59128D69" w14:textId="77777777" w:rsidR="00F13FAD" w:rsidRPr="00BE3CF7" w:rsidRDefault="00F13FAD" w:rsidP="00F13FAD">
      <w:pPr>
        <w:spacing w:before="300" w:after="0" w:line="240" w:lineRule="auto"/>
        <w:jc w:val="both"/>
        <w:rPr>
          <w:rFonts w:ascii="Segoe UI" w:eastAsia="Times New Roman" w:hAnsi="Segoe UI" w:cs="Segoe UI"/>
          <w:sz w:val="21"/>
          <w:szCs w:val="21"/>
          <w:lang w:val="en-IN" w:eastAsia="en-IN"/>
        </w:rPr>
      </w:pPr>
      <w:r w:rsidRPr="00BE3CF7">
        <w:rPr>
          <w:rFonts w:ascii="Segoe UI" w:eastAsia="Times New Roman" w:hAnsi="Segoe UI" w:cs="Segoe UI"/>
          <w:b/>
          <w:bCs/>
          <w:sz w:val="21"/>
          <w:szCs w:val="21"/>
          <w:lang w:val="en-IN" w:eastAsia="en-IN"/>
        </w:rPr>
        <w:t>Steps to Use the Zero Growth Model for Stock Valuation:</w:t>
      </w:r>
    </w:p>
    <w:p w14:paraId="37C7DF8B" w14:textId="77777777" w:rsidR="00F13FAD" w:rsidRPr="00BE3CF7" w:rsidRDefault="00F13FAD" w:rsidP="00F13FAD">
      <w:pPr>
        <w:numPr>
          <w:ilvl w:val="0"/>
          <w:numId w:val="26"/>
        </w:numPr>
        <w:spacing w:after="0" w:line="240" w:lineRule="auto"/>
        <w:ind w:left="0"/>
        <w:jc w:val="both"/>
        <w:rPr>
          <w:rFonts w:ascii="Segoe UI" w:eastAsia="Times New Roman" w:hAnsi="Segoe UI" w:cs="Segoe UI"/>
          <w:sz w:val="21"/>
          <w:szCs w:val="21"/>
          <w:lang w:val="en-IN" w:eastAsia="en-IN"/>
        </w:rPr>
      </w:pPr>
      <w:r w:rsidRPr="00BE3CF7">
        <w:rPr>
          <w:rFonts w:ascii="Segoe UI" w:eastAsia="Times New Roman" w:hAnsi="Segoe UI" w:cs="Segoe UI"/>
          <w:b/>
          <w:bCs/>
          <w:sz w:val="21"/>
          <w:szCs w:val="21"/>
          <w:lang w:val="en-IN" w:eastAsia="en-IN"/>
        </w:rPr>
        <w:t>Determine the Expected Dividend</w:t>
      </w:r>
      <w:r w:rsidRPr="00BE3CF7">
        <w:rPr>
          <w:rFonts w:ascii="Segoe UI" w:eastAsia="Times New Roman" w:hAnsi="Segoe UI" w:cs="Segoe UI"/>
          <w:sz w:val="21"/>
          <w:szCs w:val="21"/>
          <w:lang w:val="en-IN" w:eastAsia="en-IN"/>
        </w:rPr>
        <w:t>: Estimate the company's annual dividend payment. This can be based on historical dividend payments, future dividend guidance provided by the company, or other relevant factors.</w:t>
      </w:r>
    </w:p>
    <w:p w14:paraId="09D7AEA4" w14:textId="77777777" w:rsidR="00F13FAD" w:rsidRPr="00BE3CF7" w:rsidRDefault="00F13FAD" w:rsidP="00F13FAD">
      <w:pPr>
        <w:numPr>
          <w:ilvl w:val="0"/>
          <w:numId w:val="26"/>
        </w:numPr>
        <w:spacing w:after="0" w:line="240" w:lineRule="auto"/>
        <w:ind w:left="0"/>
        <w:jc w:val="both"/>
        <w:rPr>
          <w:rFonts w:ascii="Segoe UI" w:eastAsia="Times New Roman" w:hAnsi="Segoe UI" w:cs="Segoe UI"/>
          <w:sz w:val="21"/>
          <w:szCs w:val="21"/>
          <w:lang w:val="en-IN" w:eastAsia="en-IN"/>
        </w:rPr>
      </w:pPr>
      <w:r w:rsidRPr="00BE3CF7">
        <w:rPr>
          <w:rFonts w:ascii="Segoe UI" w:eastAsia="Times New Roman" w:hAnsi="Segoe UI" w:cs="Segoe UI"/>
          <w:b/>
          <w:bCs/>
          <w:sz w:val="21"/>
          <w:szCs w:val="21"/>
          <w:lang w:val="en-IN" w:eastAsia="en-IN"/>
        </w:rPr>
        <w:t>Determine the Required Rate of Return (</w:t>
      </w:r>
      <w:r w:rsidRPr="00BE3CF7">
        <w:rPr>
          <w:rFonts w:ascii="KaTeX_Math" w:eastAsia="Times New Roman" w:hAnsi="KaTeX_Math" w:cs="Times New Roman"/>
          <w:b/>
          <w:bCs/>
          <w:i/>
          <w:iCs/>
          <w:sz w:val="25"/>
          <w:szCs w:val="25"/>
          <w:lang w:val="en-IN" w:eastAsia="en-IN"/>
        </w:rPr>
        <w:t>r</w:t>
      </w:r>
      <w:r w:rsidRPr="00BE3CF7">
        <w:rPr>
          <w:rFonts w:ascii="Segoe UI" w:eastAsia="Times New Roman" w:hAnsi="Segoe UI" w:cs="Segoe UI"/>
          <w:b/>
          <w:bCs/>
          <w:sz w:val="21"/>
          <w:szCs w:val="21"/>
          <w:lang w:val="en-IN" w:eastAsia="en-IN"/>
        </w:rPr>
        <w:t>)</w:t>
      </w:r>
      <w:r w:rsidRPr="00BE3CF7">
        <w:rPr>
          <w:rFonts w:ascii="Segoe UI" w:eastAsia="Times New Roman" w:hAnsi="Segoe UI" w:cs="Segoe UI"/>
          <w:sz w:val="21"/>
          <w:szCs w:val="21"/>
          <w:lang w:val="en-IN" w:eastAsia="en-IN"/>
        </w:rPr>
        <w:t>: The discount rate (</w:t>
      </w:r>
      <w:r w:rsidRPr="00BE3CF7">
        <w:rPr>
          <w:rFonts w:ascii="KaTeX_Math" w:eastAsia="Times New Roman" w:hAnsi="KaTeX_Math" w:cs="Times New Roman"/>
          <w:i/>
          <w:iCs/>
          <w:sz w:val="25"/>
          <w:szCs w:val="25"/>
          <w:lang w:val="en-IN" w:eastAsia="en-IN"/>
        </w:rPr>
        <w:t>r</w:t>
      </w:r>
      <w:r w:rsidRPr="00BE3CF7">
        <w:rPr>
          <w:rFonts w:ascii="Segoe UI" w:eastAsia="Times New Roman" w:hAnsi="Segoe UI" w:cs="Segoe UI"/>
          <w:sz w:val="21"/>
          <w:szCs w:val="21"/>
          <w:lang w:val="en-IN" w:eastAsia="en-IN"/>
        </w:rPr>
        <w:t>) represents the investor's required rate of return. It takes into account the investor's expected return, risk tolerance, and the prevailing interest rates. It's important to choose an appropriate discount rate that reflects the risk associated with the specific stock being valued.</w:t>
      </w:r>
    </w:p>
    <w:p w14:paraId="32538692" w14:textId="77777777" w:rsidR="00F13FAD" w:rsidRPr="00BE3CF7" w:rsidRDefault="00F13FAD" w:rsidP="00F13FAD">
      <w:pPr>
        <w:numPr>
          <w:ilvl w:val="0"/>
          <w:numId w:val="26"/>
        </w:numPr>
        <w:spacing w:after="0" w:line="240" w:lineRule="auto"/>
        <w:ind w:left="0"/>
        <w:jc w:val="both"/>
        <w:rPr>
          <w:rFonts w:ascii="Segoe UI" w:eastAsia="Times New Roman" w:hAnsi="Segoe UI" w:cs="Segoe UI"/>
          <w:sz w:val="21"/>
          <w:szCs w:val="21"/>
          <w:lang w:val="en-IN" w:eastAsia="en-IN"/>
        </w:rPr>
      </w:pPr>
      <w:r w:rsidRPr="00BE3CF7">
        <w:rPr>
          <w:rFonts w:ascii="Segoe UI" w:eastAsia="Times New Roman" w:hAnsi="Segoe UI" w:cs="Segoe UI"/>
          <w:b/>
          <w:bCs/>
          <w:sz w:val="21"/>
          <w:szCs w:val="21"/>
          <w:lang w:val="en-IN" w:eastAsia="en-IN"/>
        </w:rPr>
        <w:t>Apply the Formula</w:t>
      </w:r>
      <w:r w:rsidRPr="00BE3CF7">
        <w:rPr>
          <w:rFonts w:ascii="Segoe UI" w:eastAsia="Times New Roman" w:hAnsi="Segoe UI" w:cs="Segoe UI"/>
          <w:sz w:val="21"/>
          <w:szCs w:val="21"/>
          <w:lang w:val="en-IN" w:eastAsia="en-IN"/>
        </w:rPr>
        <w:t>: Plug the expected dividend (</w:t>
      </w:r>
      <w:r w:rsidRPr="00BE3CF7">
        <w:rPr>
          <w:rFonts w:ascii="KaTeX_Math" w:eastAsia="Times New Roman" w:hAnsi="KaTeX_Math" w:cs="Times New Roman"/>
          <w:i/>
          <w:iCs/>
          <w:sz w:val="25"/>
          <w:szCs w:val="25"/>
          <w:lang w:val="en-IN" w:eastAsia="en-IN"/>
        </w:rPr>
        <w:t>D</w:t>
      </w:r>
      <w:r w:rsidRPr="00BE3CF7">
        <w:rPr>
          <w:rFonts w:ascii="Segoe UI" w:eastAsia="Times New Roman" w:hAnsi="Segoe UI" w:cs="Segoe UI"/>
          <w:sz w:val="21"/>
          <w:szCs w:val="21"/>
          <w:lang w:val="en-IN" w:eastAsia="en-IN"/>
        </w:rPr>
        <w:t>) and the discount rate (</w:t>
      </w:r>
      <w:r w:rsidRPr="00BE3CF7">
        <w:rPr>
          <w:rFonts w:ascii="KaTeX_Math" w:eastAsia="Times New Roman" w:hAnsi="KaTeX_Math" w:cs="Times New Roman"/>
          <w:i/>
          <w:iCs/>
          <w:sz w:val="25"/>
          <w:szCs w:val="25"/>
          <w:lang w:val="en-IN" w:eastAsia="en-IN"/>
        </w:rPr>
        <w:t>r</w:t>
      </w:r>
      <w:r w:rsidRPr="00BE3CF7">
        <w:rPr>
          <w:rFonts w:ascii="Segoe UI" w:eastAsia="Times New Roman" w:hAnsi="Segoe UI" w:cs="Segoe UI"/>
          <w:sz w:val="21"/>
          <w:szCs w:val="21"/>
          <w:lang w:val="en-IN" w:eastAsia="en-IN"/>
        </w:rPr>
        <w:t>) into the formula to calculate the intrinsic value (</w:t>
      </w:r>
      <w:r w:rsidRPr="00BE3CF7">
        <w:rPr>
          <w:rFonts w:ascii="KaTeX_Math" w:eastAsia="Times New Roman" w:hAnsi="KaTeX_Math" w:cs="Times New Roman"/>
          <w:i/>
          <w:iCs/>
          <w:sz w:val="25"/>
          <w:szCs w:val="25"/>
          <w:lang w:val="en-IN" w:eastAsia="en-IN"/>
        </w:rPr>
        <w:t>P</w:t>
      </w:r>
      <w:r w:rsidRPr="00BE3CF7">
        <w:rPr>
          <w:rFonts w:ascii="Segoe UI" w:eastAsia="Times New Roman" w:hAnsi="Segoe UI" w:cs="Segoe UI"/>
          <w:sz w:val="21"/>
          <w:szCs w:val="21"/>
          <w:lang w:val="en-IN" w:eastAsia="en-IN"/>
        </w:rPr>
        <w:t>) of the stock.</w:t>
      </w:r>
    </w:p>
    <w:p w14:paraId="495E6355" w14:textId="77777777" w:rsidR="00F13FAD" w:rsidRPr="00BE3CF7" w:rsidRDefault="00F13FAD" w:rsidP="00F13FAD">
      <w:pPr>
        <w:numPr>
          <w:ilvl w:val="0"/>
          <w:numId w:val="26"/>
        </w:numPr>
        <w:spacing w:after="0" w:line="240" w:lineRule="auto"/>
        <w:ind w:left="0"/>
        <w:jc w:val="both"/>
        <w:rPr>
          <w:rFonts w:ascii="Segoe UI" w:eastAsia="Times New Roman" w:hAnsi="Segoe UI" w:cs="Segoe UI"/>
          <w:sz w:val="21"/>
          <w:szCs w:val="21"/>
          <w:lang w:val="en-IN" w:eastAsia="en-IN"/>
        </w:rPr>
      </w:pPr>
      <w:r w:rsidRPr="00BE3CF7">
        <w:rPr>
          <w:rFonts w:ascii="Segoe UI" w:eastAsia="Times New Roman" w:hAnsi="Segoe UI" w:cs="Segoe UI"/>
          <w:b/>
          <w:bCs/>
          <w:sz w:val="21"/>
          <w:szCs w:val="21"/>
          <w:lang w:val="en-IN" w:eastAsia="en-IN"/>
        </w:rPr>
        <w:t>Compare with Market Price</w:t>
      </w:r>
      <w:r w:rsidRPr="00BE3CF7">
        <w:rPr>
          <w:rFonts w:ascii="Segoe UI" w:eastAsia="Times New Roman" w:hAnsi="Segoe UI" w:cs="Segoe UI"/>
          <w:sz w:val="21"/>
          <w:szCs w:val="21"/>
          <w:lang w:val="en-IN" w:eastAsia="en-IN"/>
        </w:rPr>
        <w:t>: Compare the calculated intrinsic value (</w:t>
      </w:r>
      <w:r w:rsidRPr="00BE3CF7">
        <w:rPr>
          <w:rFonts w:ascii="KaTeX_Math" w:eastAsia="Times New Roman" w:hAnsi="KaTeX_Math" w:cs="Times New Roman"/>
          <w:i/>
          <w:iCs/>
          <w:sz w:val="25"/>
          <w:szCs w:val="25"/>
          <w:lang w:val="en-IN" w:eastAsia="en-IN"/>
        </w:rPr>
        <w:t>P</w:t>
      </w:r>
      <w:r w:rsidRPr="00BE3CF7">
        <w:rPr>
          <w:rFonts w:ascii="Segoe UI" w:eastAsia="Times New Roman" w:hAnsi="Segoe UI" w:cs="Segoe UI"/>
          <w:sz w:val="21"/>
          <w:szCs w:val="21"/>
          <w:lang w:val="en-IN" w:eastAsia="en-IN"/>
        </w:rPr>
        <w:t>) with the current market price of the stock. If the intrinsic value is higher than the market price, the stock may be considered undervalued and potentially a good investment opportunity. Conversely, if the intrinsic value is lower than the market price, the stock may be overvalued.</w:t>
      </w:r>
    </w:p>
    <w:p w14:paraId="45159AFB" w14:textId="77777777" w:rsidR="00F13FAD" w:rsidRPr="00BE3CF7" w:rsidRDefault="00F13FAD" w:rsidP="00F13FAD">
      <w:pPr>
        <w:spacing w:before="300" w:after="100" w:line="240" w:lineRule="auto"/>
        <w:jc w:val="both"/>
        <w:rPr>
          <w:rFonts w:ascii="Segoe UI" w:eastAsia="Times New Roman" w:hAnsi="Segoe UI" w:cs="Segoe UI"/>
          <w:sz w:val="21"/>
          <w:szCs w:val="21"/>
          <w:lang w:val="en-IN" w:eastAsia="en-IN"/>
        </w:rPr>
      </w:pPr>
      <w:r w:rsidRPr="00BE3CF7">
        <w:rPr>
          <w:rFonts w:ascii="Segoe UI" w:eastAsia="Times New Roman" w:hAnsi="Segoe UI" w:cs="Segoe UI"/>
          <w:sz w:val="21"/>
          <w:szCs w:val="21"/>
          <w:lang w:val="en-IN" w:eastAsia="en-IN"/>
        </w:rPr>
        <w:t>It's essential to note that the zero growth model is most appropriate for companies with stable and predictable dividend payments. Companies that are expected to have significant growth in dividends are typically valued using other methods, such as the Dividend Discount Model (DDM) or the discounted cash flow (DCF) analysis, which account for changing dividend patterns over time.</w:t>
      </w:r>
    </w:p>
    <w:p w14:paraId="68E7669F" w14:textId="77777777" w:rsidR="00F13FAD" w:rsidRDefault="00F13FAD" w:rsidP="00F13FAD">
      <w:pPr>
        <w:jc w:val="both"/>
      </w:pPr>
    </w:p>
    <w:p w14:paraId="1058E0FE" w14:textId="77777777" w:rsidR="00F13FAD" w:rsidRPr="00C05FD1" w:rsidRDefault="00F13FAD" w:rsidP="00F13FAD">
      <w:pPr>
        <w:jc w:val="both"/>
        <w:rPr>
          <w:b/>
          <w:sz w:val="28"/>
          <w:szCs w:val="28"/>
        </w:rPr>
      </w:pPr>
      <w:r w:rsidRPr="00C05FD1">
        <w:rPr>
          <w:b/>
          <w:sz w:val="28"/>
          <w:szCs w:val="28"/>
        </w:rPr>
        <w:t>Constant Growth Model</w:t>
      </w:r>
    </w:p>
    <w:p w14:paraId="3CBC3416" w14:textId="77777777" w:rsidR="00F13FAD" w:rsidRPr="006528AF" w:rsidRDefault="00F13FAD" w:rsidP="00F13FAD">
      <w:pPr>
        <w:spacing w:after="300" w:line="240" w:lineRule="auto"/>
        <w:jc w:val="both"/>
        <w:rPr>
          <w:rFonts w:ascii="Segoe UI" w:eastAsia="Times New Roman" w:hAnsi="Segoe UI" w:cs="Segoe UI"/>
          <w:color w:val="374151"/>
          <w:sz w:val="24"/>
          <w:szCs w:val="24"/>
          <w:lang w:val="en-IN" w:eastAsia="en-IN"/>
        </w:rPr>
      </w:pPr>
      <w:r w:rsidRPr="006528AF">
        <w:rPr>
          <w:rFonts w:ascii="Segoe UI" w:eastAsia="Times New Roman" w:hAnsi="Segoe UI" w:cs="Segoe UI"/>
          <w:color w:val="374151"/>
          <w:sz w:val="24"/>
          <w:szCs w:val="24"/>
          <w:lang w:val="en-IN" w:eastAsia="en-IN"/>
        </w:rPr>
        <w:t>The constant growth model, also known as the Gordon Growth Model or the Gordon-Shapiro Model, is a method used to estimate the intrinsic value of a stock based on the assumption that the stock's dividends or earnings will grow at a constant rate indefinitely into the future. This model is commonly used for valuing mature companies that are expected to have stable and predictable dividend or earnings growth rates. Here's how the constant growth model works:</w:t>
      </w:r>
    </w:p>
    <w:p w14:paraId="1B26F23B" w14:textId="77777777" w:rsidR="00F13FAD" w:rsidRPr="006528AF" w:rsidRDefault="00F13FAD" w:rsidP="00F13FAD">
      <w:pPr>
        <w:spacing w:before="300" w:after="300" w:line="240" w:lineRule="auto"/>
        <w:jc w:val="both"/>
        <w:rPr>
          <w:rFonts w:ascii="Segoe UI" w:eastAsia="Times New Roman" w:hAnsi="Segoe UI" w:cs="Segoe UI"/>
          <w:color w:val="374151"/>
          <w:sz w:val="24"/>
          <w:szCs w:val="24"/>
          <w:lang w:val="en-IN" w:eastAsia="en-IN"/>
        </w:rPr>
      </w:pPr>
      <w:r w:rsidRPr="006528AF">
        <w:rPr>
          <w:rFonts w:ascii="Segoe UI" w:eastAsia="Times New Roman" w:hAnsi="Segoe UI" w:cs="Segoe UI"/>
          <w:b/>
          <w:bCs/>
          <w:color w:val="374151"/>
          <w:sz w:val="24"/>
          <w:szCs w:val="24"/>
          <w:lang w:val="en-IN" w:eastAsia="en-IN"/>
        </w:rPr>
        <w:t>Formula for the Constant Growth Model:</w:t>
      </w:r>
    </w:p>
    <w:p w14:paraId="40278ACA" w14:textId="77777777" w:rsidR="00F13FAD" w:rsidRDefault="00F13FAD" w:rsidP="00F13FAD">
      <w:pPr>
        <w:jc w:val="both"/>
      </w:pPr>
      <w:r>
        <w:rPr>
          <w:noProof/>
        </w:rPr>
        <w:drawing>
          <wp:inline distT="0" distB="0" distL="0" distR="0" wp14:anchorId="0E4DBCB0" wp14:editId="574C7225">
            <wp:extent cx="2333625" cy="1245474"/>
            <wp:effectExtent l="0" t="0" r="0" b="0"/>
            <wp:docPr id="2" name="Picture 2" descr="Stock Valuation And The Gordon Growth Model | Seeking Alp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ock Valuation And The Gordon Growth Model | Seeking Alph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84569" cy="1272663"/>
                    </a:xfrm>
                    <a:prstGeom prst="rect">
                      <a:avLst/>
                    </a:prstGeom>
                    <a:noFill/>
                    <a:ln>
                      <a:noFill/>
                    </a:ln>
                  </pic:spPr>
                </pic:pic>
              </a:graphicData>
            </a:graphic>
          </wp:inline>
        </w:drawing>
      </w:r>
    </w:p>
    <w:p w14:paraId="48043A8E" w14:textId="77777777" w:rsidR="00F13FAD" w:rsidRPr="00C05FD1" w:rsidRDefault="00F13FAD" w:rsidP="00F13FAD">
      <w:pPr>
        <w:spacing w:before="300" w:after="300" w:line="240" w:lineRule="auto"/>
        <w:jc w:val="both"/>
        <w:rPr>
          <w:rFonts w:ascii="Segoe UI" w:eastAsia="Times New Roman" w:hAnsi="Segoe UI" w:cs="Segoe UI"/>
          <w:color w:val="374151"/>
          <w:sz w:val="24"/>
          <w:szCs w:val="24"/>
          <w:lang w:val="en-IN" w:eastAsia="en-IN"/>
        </w:rPr>
      </w:pPr>
      <w:r w:rsidRPr="00C05FD1">
        <w:rPr>
          <w:rFonts w:ascii="Segoe UI" w:eastAsia="Times New Roman" w:hAnsi="Segoe UI" w:cs="Segoe UI"/>
          <w:color w:val="374151"/>
          <w:sz w:val="24"/>
          <w:szCs w:val="24"/>
          <w:lang w:val="en-IN" w:eastAsia="en-IN"/>
        </w:rPr>
        <w:t>Where:</w:t>
      </w:r>
    </w:p>
    <w:p w14:paraId="654724E3" w14:textId="77777777" w:rsidR="00F13FAD" w:rsidRPr="00C05FD1" w:rsidRDefault="00F13FAD" w:rsidP="00F13FAD">
      <w:pPr>
        <w:numPr>
          <w:ilvl w:val="0"/>
          <w:numId w:val="27"/>
        </w:numPr>
        <w:spacing w:after="0" w:line="240" w:lineRule="auto"/>
        <w:ind w:left="0"/>
        <w:jc w:val="both"/>
        <w:rPr>
          <w:rFonts w:ascii="Segoe UI" w:eastAsia="Times New Roman" w:hAnsi="Segoe UI" w:cs="Segoe UI"/>
          <w:color w:val="374151"/>
          <w:sz w:val="24"/>
          <w:szCs w:val="24"/>
          <w:lang w:val="en-IN" w:eastAsia="en-IN"/>
        </w:rPr>
      </w:pPr>
      <w:r w:rsidRPr="00C05FD1">
        <w:rPr>
          <w:rFonts w:ascii="KaTeX_Math" w:eastAsia="Times New Roman" w:hAnsi="KaTeX_Math" w:cs="Times New Roman"/>
          <w:i/>
          <w:iCs/>
          <w:color w:val="374151"/>
          <w:sz w:val="29"/>
          <w:szCs w:val="29"/>
          <w:lang w:val="en-IN" w:eastAsia="en-IN"/>
        </w:rPr>
        <w:t>P</w:t>
      </w:r>
      <w:r w:rsidRPr="00C05FD1">
        <w:rPr>
          <w:rFonts w:ascii="Segoe UI" w:eastAsia="Times New Roman" w:hAnsi="Segoe UI" w:cs="Segoe UI"/>
          <w:color w:val="374151"/>
          <w:sz w:val="24"/>
          <w:szCs w:val="24"/>
          <w:lang w:val="en-IN" w:eastAsia="en-IN"/>
        </w:rPr>
        <w:t xml:space="preserve"> represents the intrinsic value or price of the stock.</w:t>
      </w:r>
    </w:p>
    <w:p w14:paraId="755F075B" w14:textId="77777777" w:rsidR="00F13FAD" w:rsidRPr="00C05FD1" w:rsidRDefault="00F13FAD" w:rsidP="00F13FAD">
      <w:pPr>
        <w:numPr>
          <w:ilvl w:val="0"/>
          <w:numId w:val="27"/>
        </w:numPr>
        <w:spacing w:after="0" w:line="240" w:lineRule="auto"/>
        <w:ind w:left="0"/>
        <w:jc w:val="both"/>
        <w:rPr>
          <w:rFonts w:ascii="Segoe UI" w:eastAsia="Times New Roman" w:hAnsi="Segoe UI" w:cs="Segoe UI"/>
          <w:color w:val="374151"/>
          <w:sz w:val="24"/>
          <w:szCs w:val="24"/>
          <w:lang w:val="en-IN" w:eastAsia="en-IN"/>
        </w:rPr>
      </w:pPr>
      <w:r w:rsidRPr="00C05FD1">
        <w:rPr>
          <w:rFonts w:ascii="KaTeX_Math" w:eastAsia="Times New Roman" w:hAnsi="KaTeX_Math" w:cs="Times New Roman"/>
          <w:i/>
          <w:iCs/>
          <w:color w:val="374151"/>
          <w:sz w:val="29"/>
          <w:szCs w:val="29"/>
          <w:lang w:val="en-IN" w:eastAsia="en-IN"/>
        </w:rPr>
        <w:t>D</w:t>
      </w:r>
      <w:r w:rsidRPr="00C05FD1">
        <w:rPr>
          <w:rFonts w:ascii="Times New Roman" w:eastAsia="Times New Roman" w:hAnsi="Times New Roman" w:cs="Times New Roman"/>
          <w:color w:val="374151"/>
          <w:sz w:val="20"/>
          <w:szCs w:val="20"/>
          <w:lang w:val="en-IN" w:eastAsia="en-IN"/>
        </w:rPr>
        <w:t>0</w:t>
      </w:r>
      <w:r w:rsidRPr="00C05FD1">
        <w:rPr>
          <w:rFonts w:ascii="Times New Roman" w:eastAsia="Times New Roman" w:hAnsi="Times New Roman" w:cs="Times New Roman"/>
          <w:color w:val="374151"/>
          <w:sz w:val="2"/>
          <w:szCs w:val="2"/>
          <w:bdr w:val="single" w:sz="2" w:space="0" w:color="D9D9E3" w:frame="1"/>
          <w:lang w:val="en-IN" w:eastAsia="en-IN"/>
        </w:rPr>
        <w:t>​</w:t>
      </w:r>
      <w:r w:rsidRPr="00C05FD1">
        <w:rPr>
          <w:rFonts w:ascii="Segoe UI" w:eastAsia="Times New Roman" w:hAnsi="Segoe UI" w:cs="Segoe UI"/>
          <w:color w:val="374151"/>
          <w:sz w:val="24"/>
          <w:szCs w:val="24"/>
          <w:lang w:val="en-IN" w:eastAsia="en-IN"/>
        </w:rPr>
        <w:t xml:space="preserve"> is the most recent dividend (or earnings) payment.</w:t>
      </w:r>
    </w:p>
    <w:p w14:paraId="59AA27AA" w14:textId="77777777" w:rsidR="00F13FAD" w:rsidRPr="00C05FD1" w:rsidRDefault="00F13FAD" w:rsidP="00F13FAD">
      <w:pPr>
        <w:numPr>
          <w:ilvl w:val="0"/>
          <w:numId w:val="27"/>
        </w:numPr>
        <w:spacing w:after="0" w:line="240" w:lineRule="auto"/>
        <w:ind w:left="0"/>
        <w:jc w:val="both"/>
        <w:rPr>
          <w:rFonts w:ascii="Segoe UI" w:eastAsia="Times New Roman" w:hAnsi="Segoe UI" w:cs="Segoe UI"/>
          <w:color w:val="374151"/>
          <w:sz w:val="24"/>
          <w:szCs w:val="24"/>
          <w:lang w:val="en-IN" w:eastAsia="en-IN"/>
        </w:rPr>
      </w:pPr>
      <w:r w:rsidRPr="00C05FD1">
        <w:rPr>
          <w:rFonts w:ascii="KaTeX_Math" w:eastAsia="Times New Roman" w:hAnsi="KaTeX_Math" w:cs="Times New Roman"/>
          <w:i/>
          <w:iCs/>
          <w:color w:val="374151"/>
          <w:sz w:val="29"/>
          <w:szCs w:val="29"/>
          <w:lang w:val="en-IN" w:eastAsia="en-IN"/>
        </w:rPr>
        <w:t>r</w:t>
      </w:r>
      <w:r w:rsidRPr="00C05FD1">
        <w:rPr>
          <w:rFonts w:ascii="Segoe UI" w:eastAsia="Times New Roman" w:hAnsi="Segoe UI" w:cs="Segoe UI"/>
          <w:color w:val="374151"/>
          <w:sz w:val="24"/>
          <w:szCs w:val="24"/>
          <w:lang w:val="en-IN" w:eastAsia="en-IN"/>
        </w:rPr>
        <w:t xml:space="preserve"> is the required rate of return or discount rate for the investor.</w:t>
      </w:r>
    </w:p>
    <w:p w14:paraId="6FC09D77" w14:textId="77777777" w:rsidR="00F13FAD" w:rsidRPr="00C05FD1" w:rsidRDefault="00F13FAD" w:rsidP="00F13FAD">
      <w:pPr>
        <w:numPr>
          <w:ilvl w:val="0"/>
          <w:numId w:val="27"/>
        </w:numPr>
        <w:spacing w:after="0" w:line="240" w:lineRule="auto"/>
        <w:ind w:left="0"/>
        <w:jc w:val="both"/>
        <w:rPr>
          <w:rFonts w:ascii="Segoe UI" w:eastAsia="Times New Roman" w:hAnsi="Segoe UI" w:cs="Segoe UI"/>
          <w:color w:val="374151"/>
          <w:sz w:val="24"/>
          <w:szCs w:val="24"/>
          <w:lang w:val="en-IN" w:eastAsia="en-IN"/>
        </w:rPr>
      </w:pPr>
      <w:r w:rsidRPr="00C05FD1">
        <w:rPr>
          <w:rFonts w:ascii="KaTeX_Math" w:eastAsia="Times New Roman" w:hAnsi="KaTeX_Math" w:cs="Times New Roman"/>
          <w:i/>
          <w:iCs/>
          <w:color w:val="374151"/>
          <w:sz w:val="29"/>
          <w:szCs w:val="29"/>
          <w:lang w:val="en-IN" w:eastAsia="en-IN"/>
        </w:rPr>
        <w:t>g</w:t>
      </w:r>
      <w:r w:rsidRPr="00C05FD1">
        <w:rPr>
          <w:rFonts w:ascii="Segoe UI" w:eastAsia="Times New Roman" w:hAnsi="Segoe UI" w:cs="Segoe UI"/>
          <w:color w:val="374151"/>
          <w:sz w:val="24"/>
          <w:szCs w:val="24"/>
          <w:lang w:val="en-IN" w:eastAsia="en-IN"/>
        </w:rPr>
        <w:t xml:space="preserve"> is the constant growth rate of dividends (or earnings).</w:t>
      </w:r>
    </w:p>
    <w:p w14:paraId="4B65CFF9" w14:textId="77777777" w:rsidR="00F13FAD" w:rsidRPr="00C05FD1" w:rsidRDefault="00F13FAD" w:rsidP="00F13FAD">
      <w:pPr>
        <w:spacing w:before="300" w:after="300" w:line="240" w:lineRule="auto"/>
        <w:jc w:val="both"/>
        <w:rPr>
          <w:rFonts w:ascii="Segoe UI" w:eastAsia="Times New Roman" w:hAnsi="Segoe UI" w:cs="Segoe UI"/>
          <w:color w:val="374151"/>
          <w:sz w:val="24"/>
          <w:szCs w:val="24"/>
          <w:lang w:val="en-IN" w:eastAsia="en-IN"/>
        </w:rPr>
      </w:pPr>
      <w:r w:rsidRPr="00C05FD1">
        <w:rPr>
          <w:rFonts w:ascii="Segoe UI" w:eastAsia="Times New Roman" w:hAnsi="Segoe UI" w:cs="Segoe UI"/>
          <w:b/>
          <w:bCs/>
          <w:color w:val="374151"/>
          <w:sz w:val="24"/>
          <w:szCs w:val="24"/>
          <w:lang w:val="en-IN" w:eastAsia="en-IN"/>
        </w:rPr>
        <w:t>Steps to Use the Constant Growth Model for Stock Valuation:</w:t>
      </w:r>
    </w:p>
    <w:p w14:paraId="1BE8531C" w14:textId="77777777" w:rsidR="00F13FAD" w:rsidRPr="00C05FD1" w:rsidRDefault="00F13FAD" w:rsidP="00F13FAD">
      <w:pPr>
        <w:numPr>
          <w:ilvl w:val="0"/>
          <w:numId w:val="28"/>
        </w:numPr>
        <w:spacing w:after="0" w:line="240" w:lineRule="auto"/>
        <w:ind w:left="0"/>
        <w:jc w:val="both"/>
        <w:rPr>
          <w:rFonts w:ascii="Segoe UI" w:eastAsia="Times New Roman" w:hAnsi="Segoe UI" w:cs="Segoe UI"/>
          <w:color w:val="374151"/>
          <w:sz w:val="24"/>
          <w:szCs w:val="24"/>
          <w:lang w:val="en-IN" w:eastAsia="en-IN"/>
        </w:rPr>
      </w:pPr>
      <w:r w:rsidRPr="00C05FD1">
        <w:rPr>
          <w:rFonts w:ascii="Segoe UI" w:eastAsia="Times New Roman" w:hAnsi="Segoe UI" w:cs="Segoe UI"/>
          <w:b/>
          <w:bCs/>
          <w:color w:val="374151"/>
          <w:sz w:val="24"/>
          <w:szCs w:val="24"/>
          <w:lang w:val="en-IN" w:eastAsia="en-IN"/>
        </w:rPr>
        <w:t>Determine the Most Recent Dividend (or Earnings)</w:t>
      </w:r>
      <w:r w:rsidRPr="00C05FD1">
        <w:rPr>
          <w:rFonts w:ascii="Segoe UI" w:eastAsia="Times New Roman" w:hAnsi="Segoe UI" w:cs="Segoe UI"/>
          <w:color w:val="374151"/>
          <w:sz w:val="24"/>
          <w:szCs w:val="24"/>
          <w:lang w:val="en-IN" w:eastAsia="en-IN"/>
        </w:rPr>
        <w:t xml:space="preserve">: Find the most recent dividend payment for dividend-based valuation or the most recent earnings for earnings-based valuation. This is represented as </w:t>
      </w:r>
      <w:r w:rsidRPr="00C05FD1">
        <w:rPr>
          <w:rFonts w:ascii="KaTeX_Math" w:eastAsia="Times New Roman" w:hAnsi="KaTeX_Math" w:cs="Times New Roman"/>
          <w:i/>
          <w:iCs/>
          <w:color w:val="374151"/>
          <w:sz w:val="29"/>
          <w:szCs w:val="29"/>
          <w:lang w:val="en-IN" w:eastAsia="en-IN"/>
        </w:rPr>
        <w:t>D</w:t>
      </w:r>
      <w:r w:rsidRPr="00C05FD1">
        <w:rPr>
          <w:rFonts w:ascii="Times New Roman" w:eastAsia="Times New Roman" w:hAnsi="Times New Roman" w:cs="Times New Roman"/>
          <w:color w:val="374151"/>
          <w:sz w:val="20"/>
          <w:szCs w:val="20"/>
          <w:lang w:val="en-IN" w:eastAsia="en-IN"/>
        </w:rPr>
        <w:t>0</w:t>
      </w:r>
      <w:r w:rsidRPr="00C05FD1">
        <w:rPr>
          <w:rFonts w:ascii="Times New Roman" w:eastAsia="Times New Roman" w:hAnsi="Times New Roman" w:cs="Times New Roman"/>
          <w:color w:val="374151"/>
          <w:sz w:val="2"/>
          <w:szCs w:val="2"/>
          <w:bdr w:val="single" w:sz="2" w:space="0" w:color="D9D9E3" w:frame="1"/>
          <w:lang w:val="en-IN" w:eastAsia="en-IN"/>
        </w:rPr>
        <w:t>​</w:t>
      </w:r>
      <w:r w:rsidRPr="00C05FD1">
        <w:rPr>
          <w:rFonts w:ascii="Segoe UI" w:eastAsia="Times New Roman" w:hAnsi="Segoe UI" w:cs="Segoe UI"/>
          <w:color w:val="374151"/>
          <w:sz w:val="24"/>
          <w:szCs w:val="24"/>
          <w:lang w:val="en-IN" w:eastAsia="en-IN"/>
        </w:rPr>
        <w:t xml:space="preserve"> in the formula.</w:t>
      </w:r>
    </w:p>
    <w:p w14:paraId="3AC90FDF" w14:textId="77777777" w:rsidR="00F13FAD" w:rsidRPr="00C05FD1" w:rsidRDefault="00F13FAD" w:rsidP="00F13FAD">
      <w:pPr>
        <w:numPr>
          <w:ilvl w:val="0"/>
          <w:numId w:val="28"/>
        </w:numPr>
        <w:spacing w:after="0" w:line="240" w:lineRule="auto"/>
        <w:ind w:left="0"/>
        <w:jc w:val="both"/>
        <w:rPr>
          <w:rFonts w:ascii="Segoe UI" w:eastAsia="Times New Roman" w:hAnsi="Segoe UI" w:cs="Segoe UI"/>
          <w:color w:val="374151"/>
          <w:sz w:val="24"/>
          <w:szCs w:val="24"/>
          <w:lang w:val="en-IN" w:eastAsia="en-IN"/>
        </w:rPr>
      </w:pPr>
      <w:r w:rsidRPr="00C05FD1">
        <w:rPr>
          <w:rFonts w:ascii="Segoe UI" w:eastAsia="Times New Roman" w:hAnsi="Segoe UI" w:cs="Segoe UI"/>
          <w:b/>
          <w:bCs/>
          <w:color w:val="374151"/>
          <w:sz w:val="24"/>
          <w:szCs w:val="24"/>
          <w:lang w:val="en-IN" w:eastAsia="en-IN"/>
        </w:rPr>
        <w:t>Determine the Expected Constant Growth Rate (</w:t>
      </w:r>
      <w:r w:rsidRPr="00C05FD1">
        <w:rPr>
          <w:rFonts w:ascii="KaTeX_Math" w:eastAsia="Times New Roman" w:hAnsi="KaTeX_Math" w:cs="Times New Roman"/>
          <w:b/>
          <w:bCs/>
          <w:i/>
          <w:iCs/>
          <w:color w:val="374151"/>
          <w:sz w:val="29"/>
          <w:szCs w:val="29"/>
          <w:lang w:val="en-IN" w:eastAsia="en-IN"/>
        </w:rPr>
        <w:t>g</w:t>
      </w:r>
      <w:r w:rsidRPr="00C05FD1">
        <w:rPr>
          <w:rFonts w:ascii="Segoe UI" w:eastAsia="Times New Roman" w:hAnsi="Segoe UI" w:cs="Segoe UI"/>
          <w:b/>
          <w:bCs/>
          <w:color w:val="374151"/>
          <w:sz w:val="24"/>
          <w:szCs w:val="24"/>
          <w:lang w:val="en-IN" w:eastAsia="en-IN"/>
        </w:rPr>
        <w:t>)</w:t>
      </w:r>
      <w:r w:rsidRPr="00C05FD1">
        <w:rPr>
          <w:rFonts w:ascii="Segoe UI" w:eastAsia="Times New Roman" w:hAnsi="Segoe UI" w:cs="Segoe UI"/>
          <w:color w:val="374151"/>
          <w:sz w:val="24"/>
          <w:szCs w:val="24"/>
          <w:lang w:val="en-IN" w:eastAsia="en-IN"/>
        </w:rPr>
        <w:t>: Estimate the rate at which you expect the company's dividends (or earnings) to grow consistently in the future. This should be a reasonable and sustainable growth rate.</w:t>
      </w:r>
    </w:p>
    <w:p w14:paraId="4E72A86A" w14:textId="77777777" w:rsidR="00F13FAD" w:rsidRPr="00C05FD1" w:rsidRDefault="00F13FAD" w:rsidP="00F13FAD">
      <w:pPr>
        <w:numPr>
          <w:ilvl w:val="0"/>
          <w:numId w:val="28"/>
        </w:numPr>
        <w:spacing w:after="0" w:line="240" w:lineRule="auto"/>
        <w:ind w:left="0"/>
        <w:jc w:val="both"/>
        <w:rPr>
          <w:rFonts w:ascii="Segoe UI" w:eastAsia="Times New Roman" w:hAnsi="Segoe UI" w:cs="Segoe UI"/>
          <w:color w:val="374151"/>
          <w:sz w:val="24"/>
          <w:szCs w:val="24"/>
          <w:lang w:val="en-IN" w:eastAsia="en-IN"/>
        </w:rPr>
      </w:pPr>
      <w:r w:rsidRPr="00C05FD1">
        <w:rPr>
          <w:rFonts w:ascii="Segoe UI" w:eastAsia="Times New Roman" w:hAnsi="Segoe UI" w:cs="Segoe UI"/>
          <w:b/>
          <w:bCs/>
          <w:color w:val="374151"/>
          <w:sz w:val="24"/>
          <w:szCs w:val="24"/>
          <w:lang w:val="en-IN" w:eastAsia="en-IN"/>
        </w:rPr>
        <w:t>Determine the Required Rate of Return (</w:t>
      </w:r>
      <w:r w:rsidRPr="00C05FD1">
        <w:rPr>
          <w:rFonts w:ascii="KaTeX_Math" w:eastAsia="Times New Roman" w:hAnsi="KaTeX_Math" w:cs="Times New Roman"/>
          <w:b/>
          <w:bCs/>
          <w:i/>
          <w:iCs/>
          <w:color w:val="374151"/>
          <w:sz w:val="29"/>
          <w:szCs w:val="29"/>
          <w:lang w:val="en-IN" w:eastAsia="en-IN"/>
        </w:rPr>
        <w:t>r</w:t>
      </w:r>
      <w:r w:rsidRPr="00C05FD1">
        <w:rPr>
          <w:rFonts w:ascii="Segoe UI" w:eastAsia="Times New Roman" w:hAnsi="Segoe UI" w:cs="Segoe UI"/>
          <w:b/>
          <w:bCs/>
          <w:color w:val="374151"/>
          <w:sz w:val="24"/>
          <w:szCs w:val="24"/>
          <w:lang w:val="en-IN" w:eastAsia="en-IN"/>
        </w:rPr>
        <w:t>)</w:t>
      </w:r>
      <w:r w:rsidRPr="00C05FD1">
        <w:rPr>
          <w:rFonts w:ascii="Segoe UI" w:eastAsia="Times New Roman" w:hAnsi="Segoe UI" w:cs="Segoe UI"/>
          <w:color w:val="374151"/>
          <w:sz w:val="24"/>
          <w:szCs w:val="24"/>
          <w:lang w:val="en-IN" w:eastAsia="en-IN"/>
        </w:rPr>
        <w:t>: The discount rate (</w:t>
      </w:r>
      <w:r w:rsidRPr="00C05FD1">
        <w:rPr>
          <w:rFonts w:ascii="KaTeX_Math" w:eastAsia="Times New Roman" w:hAnsi="KaTeX_Math" w:cs="Times New Roman"/>
          <w:i/>
          <w:iCs/>
          <w:color w:val="374151"/>
          <w:sz w:val="29"/>
          <w:szCs w:val="29"/>
          <w:lang w:val="en-IN" w:eastAsia="en-IN"/>
        </w:rPr>
        <w:t>r</w:t>
      </w:r>
      <w:r w:rsidRPr="00C05FD1">
        <w:rPr>
          <w:rFonts w:ascii="Segoe UI" w:eastAsia="Times New Roman" w:hAnsi="Segoe UI" w:cs="Segoe UI"/>
          <w:color w:val="374151"/>
          <w:sz w:val="24"/>
          <w:szCs w:val="24"/>
          <w:lang w:val="en-IN" w:eastAsia="en-IN"/>
        </w:rPr>
        <w:t>) reflects the investor's required rate of return, which accounts for factors like risk, opportunity cost, and the investor's expected return. It should be an appropriate rate for the specific stock being valued.</w:t>
      </w:r>
    </w:p>
    <w:p w14:paraId="1FB3D283" w14:textId="77777777" w:rsidR="00F13FAD" w:rsidRPr="00C05FD1" w:rsidRDefault="00F13FAD" w:rsidP="00F13FAD">
      <w:pPr>
        <w:numPr>
          <w:ilvl w:val="0"/>
          <w:numId w:val="28"/>
        </w:numPr>
        <w:spacing w:after="0" w:line="240" w:lineRule="auto"/>
        <w:ind w:left="0"/>
        <w:jc w:val="both"/>
        <w:rPr>
          <w:rFonts w:ascii="Segoe UI" w:eastAsia="Times New Roman" w:hAnsi="Segoe UI" w:cs="Segoe UI"/>
          <w:color w:val="374151"/>
          <w:sz w:val="24"/>
          <w:szCs w:val="24"/>
          <w:lang w:val="en-IN" w:eastAsia="en-IN"/>
        </w:rPr>
      </w:pPr>
      <w:r w:rsidRPr="00C05FD1">
        <w:rPr>
          <w:rFonts w:ascii="Segoe UI" w:eastAsia="Times New Roman" w:hAnsi="Segoe UI" w:cs="Segoe UI"/>
          <w:b/>
          <w:bCs/>
          <w:color w:val="374151"/>
          <w:sz w:val="24"/>
          <w:szCs w:val="24"/>
          <w:lang w:val="en-IN" w:eastAsia="en-IN"/>
        </w:rPr>
        <w:t>Apply the Formula</w:t>
      </w:r>
      <w:r w:rsidRPr="00C05FD1">
        <w:rPr>
          <w:rFonts w:ascii="Segoe UI" w:eastAsia="Times New Roman" w:hAnsi="Segoe UI" w:cs="Segoe UI"/>
          <w:color w:val="374151"/>
          <w:sz w:val="24"/>
          <w:szCs w:val="24"/>
          <w:lang w:val="en-IN" w:eastAsia="en-IN"/>
        </w:rPr>
        <w:t xml:space="preserve">: Plug the values of </w:t>
      </w:r>
      <w:r w:rsidRPr="00C05FD1">
        <w:rPr>
          <w:rFonts w:ascii="KaTeX_Math" w:eastAsia="Times New Roman" w:hAnsi="KaTeX_Math" w:cs="Times New Roman"/>
          <w:i/>
          <w:iCs/>
          <w:color w:val="374151"/>
          <w:sz w:val="29"/>
          <w:szCs w:val="29"/>
          <w:lang w:val="en-IN" w:eastAsia="en-IN"/>
        </w:rPr>
        <w:t>D</w:t>
      </w:r>
      <w:r w:rsidRPr="00C05FD1">
        <w:rPr>
          <w:rFonts w:ascii="Times New Roman" w:eastAsia="Times New Roman" w:hAnsi="Times New Roman" w:cs="Times New Roman"/>
          <w:color w:val="374151"/>
          <w:sz w:val="20"/>
          <w:szCs w:val="20"/>
          <w:lang w:val="en-IN" w:eastAsia="en-IN"/>
        </w:rPr>
        <w:t>0</w:t>
      </w:r>
      <w:r w:rsidRPr="00C05FD1">
        <w:rPr>
          <w:rFonts w:ascii="Times New Roman" w:eastAsia="Times New Roman" w:hAnsi="Times New Roman" w:cs="Times New Roman"/>
          <w:color w:val="374151"/>
          <w:sz w:val="2"/>
          <w:szCs w:val="2"/>
          <w:bdr w:val="single" w:sz="2" w:space="0" w:color="D9D9E3" w:frame="1"/>
          <w:lang w:val="en-IN" w:eastAsia="en-IN"/>
        </w:rPr>
        <w:t>​</w:t>
      </w:r>
      <w:r w:rsidRPr="00C05FD1">
        <w:rPr>
          <w:rFonts w:ascii="Segoe UI" w:eastAsia="Times New Roman" w:hAnsi="Segoe UI" w:cs="Segoe UI"/>
          <w:color w:val="374151"/>
          <w:sz w:val="24"/>
          <w:szCs w:val="24"/>
          <w:lang w:val="en-IN" w:eastAsia="en-IN"/>
        </w:rPr>
        <w:t xml:space="preserve">, </w:t>
      </w:r>
      <w:r w:rsidRPr="00C05FD1">
        <w:rPr>
          <w:rFonts w:ascii="KaTeX_Math" w:eastAsia="Times New Roman" w:hAnsi="KaTeX_Math" w:cs="Times New Roman"/>
          <w:i/>
          <w:iCs/>
          <w:color w:val="374151"/>
          <w:sz w:val="29"/>
          <w:szCs w:val="29"/>
          <w:lang w:val="en-IN" w:eastAsia="en-IN"/>
        </w:rPr>
        <w:t>g</w:t>
      </w:r>
      <w:r w:rsidRPr="00C05FD1">
        <w:rPr>
          <w:rFonts w:ascii="Segoe UI" w:eastAsia="Times New Roman" w:hAnsi="Segoe UI" w:cs="Segoe UI"/>
          <w:color w:val="374151"/>
          <w:sz w:val="24"/>
          <w:szCs w:val="24"/>
          <w:lang w:val="en-IN" w:eastAsia="en-IN"/>
        </w:rPr>
        <w:t xml:space="preserve">, and </w:t>
      </w:r>
      <w:r w:rsidRPr="00C05FD1">
        <w:rPr>
          <w:rFonts w:ascii="KaTeX_Math" w:eastAsia="Times New Roman" w:hAnsi="KaTeX_Math" w:cs="Times New Roman"/>
          <w:i/>
          <w:iCs/>
          <w:color w:val="374151"/>
          <w:sz w:val="29"/>
          <w:szCs w:val="29"/>
          <w:lang w:val="en-IN" w:eastAsia="en-IN"/>
        </w:rPr>
        <w:t>r</w:t>
      </w:r>
      <w:r w:rsidRPr="00C05FD1">
        <w:rPr>
          <w:rFonts w:ascii="Segoe UI" w:eastAsia="Times New Roman" w:hAnsi="Segoe UI" w:cs="Segoe UI"/>
          <w:color w:val="374151"/>
          <w:sz w:val="24"/>
          <w:szCs w:val="24"/>
          <w:lang w:val="en-IN" w:eastAsia="en-IN"/>
        </w:rPr>
        <w:t xml:space="preserve"> into the formula to calculate the intrinsic value (</w:t>
      </w:r>
      <w:r w:rsidRPr="00C05FD1">
        <w:rPr>
          <w:rFonts w:ascii="KaTeX_Math" w:eastAsia="Times New Roman" w:hAnsi="KaTeX_Math" w:cs="Times New Roman"/>
          <w:i/>
          <w:iCs/>
          <w:color w:val="374151"/>
          <w:sz w:val="29"/>
          <w:szCs w:val="29"/>
          <w:lang w:val="en-IN" w:eastAsia="en-IN"/>
        </w:rPr>
        <w:t>P</w:t>
      </w:r>
      <w:r w:rsidRPr="00C05FD1">
        <w:rPr>
          <w:rFonts w:ascii="Segoe UI" w:eastAsia="Times New Roman" w:hAnsi="Segoe UI" w:cs="Segoe UI"/>
          <w:color w:val="374151"/>
          <w:sz w:val="24"/>
          <w:szCs w:val="24"/>
          <w:lang w:val="en-IN" w:eastAsia="en-IN"/>
        </w:rPr>
        <w:t>) of the stock.</w:t>
      </w:r>
    </w:p>
    <w:p w14:paraId="509FA390" w14:textId="77777777" w:rsidR="00F13FAD" w:rsidRDefault="00F13FAD" w:rsidP="00F13FAD">
      <w:pPr>
        <w:jc w:val="both"/>
      </w:pPr>
    </w:p>
    <w:p w14:paraId="17529917" w14:textId="77777777" w:rsidR="00F13FAD" w:rsidRDefault="00F13FAD" w:rsidP="00F13FAD">
      <w:pPr>
        <w:jc w:val="both"/>
        <w:rPr>
          <w:b/>
          <w:sz w:val="28"/>
          <w:szCs w:val="28"/>
        </w:rPr>
      </w:pPr>
      <w:r w:rsidRPr="00C05FD1">
        <w:rPr>
          <w:b/>
          <w:sz w:val="28"/>
          <w:szCs w:val="28"/>
        </w:rPr>
        <w:t>Multiple Growth Model</w:t>
      </w:r>
    </w:p>
    <w:p w14:paraId="56C7CFA9" w14:textId="77777777" w:rsidR="00F13FAD" w:rsidRPr="00C05FD1" w:rsidRDefault="00F13FAD" w:rsidP="00F13FAD">
      <w:pPr>
        <w:spacing w:after="300" w:line="240" w:lineRule="auto"/>
        <w:jc w:val="both"/>
        <w:rPr>
          <w:rFonts w:ascii="Times New Roman" w:eastAsia="Times New Roman" w:hAnsi="Times New Roman" w:cs="Times New Roman"/>
          <w:sz w:val="24"/>
          <w:szCs w:val="24"/>
          <w:lang w:val="en-IN" w:eastAsia="en-IN"/>
        </w:rPr>
      </w:pPr>
      <w:r w:rsidRPr="00C05FD1">
        <w:rPr>
          <w:rFonts w:ascii="Times New Roman" w:eastAsia="Times New Roman" w:hAnsi="Times New Roman" w:cs="Times New Roman"/>
          <w:sz w:val="24"/>
          <w:szCs w:val="24"/>
          <w:lang w:val="en-IN" w:eastAsia="en-IN"/>
        </w:rPr>
        <w:t>The Multiple Growth Model is a stock valuation method used to estimate the intrinsic value of a stock by considering multiple stages of growth in the future. This model is suitable for companies that are expected to experience varying growth rates over different periods. It breaks down the valuation into distinct phases, each with its own growth rate and considerations. Here's how the Multiple Growth Model works:</w:t>
      </w:r>
    </w:p>
    <w:p w14:paraId="4A766B19" w14:textId="77777777" w:rsidR="00F13FAD" w:rsidRPr="00C05FD1" w:rsidRDefault="00F13FAD" w:rsidP="00F13FAD">
      <w:pPr>
        <w:spacing w:before="300" w:after="300" w:line="240" w:lineRule="auto"/>
        <w:jc w:val="both"/>
        <w:rPr>
          <w:rFonts w:ascii="Times New Roman" w:eastAsia="Times New Roman" w:hAnsi="Times New Roman" w:cs="Times New Roman"/>
          <w:sz w:val="24"/>
          <w:szCs w:val="24"/>
          <w:lang w:val="en-IN" w:eastAsia="en-IN"/>
        </w:rPr>
      </w:pPr>
      <w:r w:rsidRPr="00C05FD1">
        <w:rPr>
          <w:rFonts w:ascii="Times New Roman" w:eastAsia="Times New Roman" w:hAnsi="Times New Roman" w:cs="Times New Roman"/>
          <w:b/>
          <w:bCs/>
          <w:sz w:val="24"/>
          <w:szCs w:val="24"/>
          <w:lang w:val="en-IN" w:eastAsia="en-IN"/>
        </w:rPr>
        <w:t>Key Components of the Multiple Growth Model:</w:t>
      </w:r>
    </w:p>
    <w:p w14:paraId="3BF77CB8" w14:textId="77777777" w:rsidR="00F13FAD" w:rsidRPr="00C05FD1" w:rsidRDefault="00F13FAD" w:rsidP="00F13FAD">
      <w:pPr>
        <w:numPr>
          <w:ilvl w:val="0"/>
          <w:numId w:val="29"/>
        </w:numPr>
        <w:spacing w:after="0" w:line="240" w:lineRule="auto"/>
        <w:ind w:left="0"/>
        <w:jc w:val="both"/>
        <w:rPr>
          <w:rFonts w:ascii="Times New Roman" w:eastAsia="Times New Roman" w:hAnsi="Times New Roman" w:cs="Times New Roman"/>
          <w:sz w:val="24"/>
          <w:szCs w:val="24"/>
          <w:lang w:val="en-IN" w:eastAsia="en-IN"/>
        </w:rPr>
      </w:pPr>
      <w:r w:rsidRPr="00C05FD1">
        <w:rPr>
          <w:rFonts w:ascii="Times New Roman" w:eastAsia="Times New Roman" w:hAnsi="Times New Roman" w:cs="Times New Roman"/>
          <w:b/>
          <w:bCs/>
          <w:sz w:val="24"/>
          <w:szCs w:val="24"/>
          <w:lang w:val="en-IN" w:eastAsia="en-IN"/>
        </w:rPr>
        <w:t>Initial High Growth Phase</w:t>
      </w:r>
      <w:r w:rsidRPr="00C05FD1">
        <w:rPr>
          <w:rFonts w:ascii="Times New Roman" w:eastAsia="Times New Roman" w:hAnsi="Times New Roman" w:cs="Times New Roman"/>
          <w:sz w:val="24"/>
          <w:szCs w:val="24"/>
          <w:lang w:val="en-IN" w:eastAsia="en-IN"/>
        </w:rPr>
        <w:t>: This is usually the first few years where a company is expected to experience high growth rates, often due to new products, markets, or other factors.</w:t>
      </w:r>
    </w:p>
    <w:p w14:paraId="20786222" w14:textId="77777777" w:rsidR="00F13FAD" w:rsidRPr="00C05FD1" w:rsidRDefault="00F13FAD" w:rsidP="00F13FAD">
      <w:pPr>
        <w:numPr>
          <w:ilvl w:val="0"/>
          <w:numId w:val="29"/>
        </w:numPr>
        <w:spacing w:after="0" w:line="240" w:lineRule="auto"/>
        <w:ind w:left="0"/>
        <w:jc w:val="both"/>
        <w:rPr>
          <w:rFonts w:ascii="Times New Roman" w:eastAsia="Times New Roman" w:hAnsi="Times New Roman" w:cs="Times New Roman"/>
          <w:sz w:val="24"/>
          <w:szCs w:val="24"/>
          <w:lang w:val="en-IN" w:eastAsia="en-IN"/>
        </w:rPr>
      </w:pPr>
      <w:r w:rsidRPr="00C05FD1">
        <w:rPr>
          <w:rFonts w:ascii="Times New Roman" w:eastAsia="Times New Roman" w:hAnsi="Times New Roman" w:cs="Times New Roman"/>
          <w:b/>
          <w:bCs/>
          <w:sz w:val="24"/>
          <w:szCs w:val="24"/>
          <w:lang w:val="en-IN" w:eastAsia="en-IN"/>
        </w:rPr>
        <w:t>Transitional Phase</w:t>
      </w:r>
      <w:r w:rsidRPr="00C05FD1">
        <w:rPr>
          <w:rFonts w:ascii="Times New Roman" w:eastAsia="Times New Roman" w:hAnsi="Times New Roman" w:cs="Times New Roman"/>
          <w:sz w:val="24"/>
          <w:szCs w:val="24"/>
          <w:lang w:val="en-IN" w:eastAsia="en-IN"/>
        </w:rPr>
        <w:t>: Following the initial high growth phase, the company's growth rate may start to slow down as it matures. This transitional phase typically has a growth rate lower than the initial high growth phase but higher than the long-term stable phase.</w:t>
      </w:r>
    </w:p>
    <w:p w14:paraId="45596A2C" w14:textId="77777777" w:rsidR="00F13FAD" w:rsidRPr="00C05FD1" w:rsidRDefault="00F13FAD" w:rsidP="00F13FAD">
      <w:pPr>
        <w:numPr>
          <w:ilvl w:val="0"/>
          <w:numId w:val="29"/>
        </w:numPr>
        <w:spacing w:after="0" w:line="240" w:lineRule="auto"/>
        <w:ind w:left="0"/>
        <w:jc w:val="both"/>
        <w:rPr>
          <w:rFonts w:ascii="Times New Roman" w:eastAsia="Times New Roman" w:hAnsi="Times New Roman" w:cs="Times New Roman"/>
          <w:sz w:val="24"/>
          <w:szCs w:val="24"/>
          <w:lang w:val="en-IN" w:eastAsia="en-IN"/>
        </w:rPr>
      </w:pPr>
      <w:r w:rsidRPr="00C05FD1">
        <w:rPr>
          <w:rFonts w:ascii="Times New Roman" w:eastAsia="Times New Roman" w:hAnsi="Times New Roman" w:cs="Times New Roman"/>
          <w:b/>
          <w:bCs/>
          <w:sz w:val="24"/>
          <w:szCs w:val="24"/>
          <w:lang w:val="en-IN" w:eastAsia="en-IN"/>
        </w:rPr>
        <w:t>Long-Term Stable Growth Phase</w:t>
      </w:r>
      <w:r w:rsidRPr="00C05FD1">
        <w:rPr>
          <w:rFonts w:ascii="Times New Roman" w:eastAsia="Times New Roman" w:hAnsi="Times New Roman" w:cs="Times New Roman"/>
          <w:sz w:val="24"/>
          <w:szCs w:val="24"/>
          <w:lang w:val="en-IN" w:eastAsia="en-IN"/>
        </w:rPr>
        <w:t>: Eventually, the company is assumed to reach a mature stage where it achieves a stable and sustainable growth rate over the long term. This growth rate is often considered to be in perpetuity.</w:t>
      </w:r>
    </w:p>
    <w:p w14:paraId="124B0031" w14:textId="77777777" w:rsidR="00F13FAD" w:rsidRDefault="00F13FAD" w:rsidP="00F13FAD">
      <w:pPr>
        <w:jc w:val="both"/>
      </w:pPr>
      <w:r>
        <w:rPr>
          <w:noProof/>
        </w:rPr>
        <w:drawing>
          <wp:inline distT="0" distB="0" distL="0" distR="0" wp14:anchorId="2AC3D6DA" wp14:editId="361621C4">
            <wp:extent cx="6276514" cy="3579574"/>
            <wp:effectExtent l="0" t="0" r="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309821" cy="3598569"/>
                    </a:xfrm>
                    <a:prstGeom prst="rect">
                      <a:avLst/>
                    </a:prstGeom>
                    <a:noFill/>
                  </pic:spPr>
                </pic:pic>
              </a:graphicData>
            </a:graphic>
          </wp:inline>
        </w:drawing>
      </w:r>
    </w:p>
    <w:p w14:paraId="625301FC" w14:textId="77777777" w:rsidR="00F13FAD" w:rsidRDefault="00F13FAD" w:rsidP="00F13FAD">
      <w:pPr>
        <w:jc w:val="both"/>
      </w:pPr>
      <w:r>
        <w:rPr>
          <w:noProof/>
        </w:rPr>
        <mc:AlternateContent>
          <mc:Choice Requires="wps">
            <w:drawing>
              <wp:inline distT="0" distB="0" distL="0" distR="0" wp14:anchorId="0A1A3B5E" wp14:editId="2B642C7D">
                <wp:extent cx="304800" cy="304800"/>
                <wp:effectExtent l="0" t="0" r="0" b="0"/>
                <wp:docPr id="3" name="Rectangle 3" descr="blob:https://web.whatsapp.com/516044bc-5096-4e1c-8f9a-47621390e0d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DF9E44A" id="Rectangle 3" o:spid="_x0000_s1026" alt="blob:https://web.whatsapp.com/516044bc-5096-4e1c-8f9a-47621390e0dc"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WaJ5wIAAAIGAAAOAAAAZHJzL2Uyb0RvYy54bWysVNtu2zAMfR+wfxD07vgS5WKjTtHmMgzo&#10;tmLdPkCW5ViYLXmSErcb9u+j5CRN2pdhmx8MiZQOecgjXl0/tg3ac22EkjmORxFGXDJVCrnN8dcv&#10;m2COkbFUlrRRkuf4iRt8vXj75qrvMp6oWjUl1whApMn6Lse1tV0WhobVvKVmpDouwVkp3VILW70N&#10;S017QG+bMImiadgrXXZaMW4MWFeDEy88flVxZj9VleEWNTmG3Kz/a/8v3D9cXNFsq2lXC3ZIg/5F&#10;Fi0VEoKeoFbUUrTT4hVUK5hWRlV2xFQbqqoSjHsOwCaOXrB5qGnHPRcojulOZTL/D5Z93N9rJMoc&#10;jzGStIUWfYaiUbltOAJTyQ2DchWNKjLXGwPN6Xkx6mvoB+06T2MSTyNCChZMonQaEB6zYF6lNCCz&#10;aRKP04hHJXOV7uE6BHzo7rWrlenuFPtmkFTLGgLyG9NBaFARZHI0aa36mtMSKMcOIrzAcBsDaKjo&#10;P6gScqc7q3wfHivduhhQYfTo2/10ajd/tIiBcRyReQSiYOA6rF0Emh0vd9rYd1y1yC1yrCE7D073&#10;d8YOR49HXCypNqJpwE6zRl4YAHOwQGi46nwuCS+Qn2mUrufrOQlIMl0HJFqtgpvNkgTTTTybrMar&#10;5XIV/3JxY5LVoiy5dGGOYo3Jn4nh8GwGmZ3kalQjSgfnUjJ6WywbjfYUHsvGf77k4Hk+Fl6m4esF&#10;XF5QihMS3SZpsJnOZwHZkEmQzqJ5EMXpbQpaSclqc0npTkj+75RQn+N0kkx8l86SfsEt8t9rbjRr&#10;hYVx1Ig2xyAN+NwhmjkFrmXp15aKZliflcKl/1wKaPex0V6vTqKD+gtVPoFctQI5gfJgcMKiVvoH&#10;Rj0MoRyb7zuqOUbNewmST2NC3NTyGzKZJbDR557i3EMlA6gcW4yG5dIOk27XabGtIVLsCyPVDTyT&#10;SngJuyc0ZHV4XDBoPJPDUHST7HzvTz2P7sVvAAAA//8DAFBLAwQUAAYACAAAACEATKDpLNgAAAAD&#10;AQAADwAAAGRycy9kb3ducmV2LnhtbEyPQUvDQBCF74L/YRnBi9iNIlJiNkUKYhGhmGrP0+yYBLOz&#10;aXabxH/fqR70MsPjDW++ly0m16qB+tB4NnAzS0ARl942XBl43zxdz0GFiGyx9UwGvinAIj8/yzC1&#10;fuQ3GopYKQnhkKKBOsYu1TqUNTkMM98Ri/fpe4dRZF9p2+Mo4a7Vt0lyrx02LB9q7GhZU/lVHJyB&#10;sVwP283rs15fbVee96v9svh4MebyYnp8ABVpin/HcMIXdMiFaecPbINqDUiR+DPFu5uL2v1unWf6&#10;P3t+BAAA//8DAFBLAQItABQABgAIAAAAIQC2gziS/gAAAOEBAAATAAAAAAAAAAAAAAAAAAAAAABb&#10;Q29udGVudF9UeXBlc10ueG1sUEsBAi0AFAAGAAgAAAAhADj9If/WAAAAlAEAAAsAAAAAAAAAAAAA&#10;AAAALwEAAF9yZWxzLy5yZWxzUEsBAi0AFAAGAAgAAAAhAFqpZonnAgAAAgYAAA4AAAAAAAAAAAAA&#10;AAAALgIAAGRycy9lMm9Eb2MueG1sUEsBAi0AFAAGAAgAAAAhAEyg6SzYAAAAAwEAAA8AAAAAAAAA&#10;AAAAAAAAQQUAAGRycy9kb3ducmV2LnhtbFBLBQYAAAAABAAEAPMAAABGBgAAAAA=&#10;" filled="f" stroked="f">
                <o:lock v:ext="edit" aspectratio="t"/>
                <w10:anchorlock/>
              </v:rect>
            </w:pict>
          </mc:Fallback>
        </mc:AlternateContent>
      </w:r>
    </w:p>
    <w:p w14:paraId="25800481" w14:textId="77777777" w:rsidR="00F13FAD" w:rsidRDefault="00F13FAD" w:rsidP="00F13FAD">
      <w:pPr>
        <w:jc w:val="both"/>
      </w:pPr>
      <w:r>
        <w:t>Price Earning Model</w:t>
      </w:r>
    </w:p>
    <w:p w14:paraId="3B39882E" w14:textId="77777777" w:rsidR="00F13FAD" w:rsidRPr="00927DB9" w:rsidRDefault="00F13FAD" w:rsidP="00F13FAD">
      <w:pPr>
        <w:shd w:val="clear" w:color="auto" w:fill="F7F7F8"/>
        <w:spacing w:after="300" w:line="240" w:lineRule="auto"/>
        <w:jc w:val="both"/>
        <w:rPr>
          <w:rFonts w:ascii="Segoe UI" w:eastAsia="Times New Roman" w:hAnsi="Segoe UI" w:cs="Segoe UI"/>
          <w:color w:val="374151"/>
          <w:sz w:val="24"/>
          <w:szCs w:val="24"/>
          <w:lang w:val="en-IN" w:eastAsia="en-IN"/>
        </w:rPr>
      </w:pPr>
      <w:r w:rsidRPr="00927DB9">
        <w:rPr>
          <w:rFonts w:ascii="Segoe UI" w:eastAsia="Times New Roman" w:hAnsi="Segoe UI" w:cs="Segoe UI"/>
          <w:color w:val="374151"/>
          <w:sz w:val="24"/>
          <w:szCs w:val="24"/>
          <w:lang w:val="en-IN" w:eastAsia="en-IN"/>
        </w:rPr>
        <w:t>The Price-to-Earnings (P/E) ratio is a widely used financial metric for valuing a company and assessing its relative attractiveness as an investment. It compares the market price of a company's stock (per share) to its earnings per share (EPS). The P/E ratio is a straightforward valuation tool that provides insights into how much investors are willing to pay for each dollar of a company's earnings. Here's how to calculate and interpret the P/E ratio:</w:t>
      </w:r>
    </w:p>
    <w:p w14:paraId="292A12D8" w14:textId="77777777" w:rsidR="00F13FAD" w:rsidRPr="00927DB9" w:rsidRDefault="00F13FAD" w:rsidP="00F13FAD">
      <w:pPr>
        <w:shd w:val="clear" w:color="auto" w:fill="F7F7F8"/>
        <w:spacing w:before="300" w:after="300" w:line="240" w:lineRule="auto"/>
        <w:jc w:val="both"/>
        <w:rPr>
          <w:rFonts w:ascii="Segoe UI" w:eastAsia="Times New Roman" w:hAnsi="Segoe UI" w:cs="Segoe UI"/>
          <w:color w:val="374151"/>
          <w:sz w:val="24"/>
          <w:szCs w:val="24"/>
          <w:lang w:val="en-IN" w:eastAsia="en-IN"/>
        </w:rPr>
      </w:pPr>
      <w:r w:rsidRPr="00927DB9">
        <w:rPr>
          <w:rFonts w:ascii="Segoe UI" w:eastAsia="Times New Roman" w:hAnsi="Segoe UI" w:cs="Segoe UI"/>
          <w:b/>
          <w:bCs/>
          <w:color w:val="374151"/>
          <w:sz w:val="24"/>
          <w:szCs w:val="24"/>
          <w:lang w:val="en-IN" w:eastAsia="en-IN"/>
        </w:rPr>
        <w:t>Formula for the P/E Ratio:</w:t>
      </w:r>
    </w:p>
    <w:p w14:paraId="4E21C2E8" w14:textId="77777777" w:rsidR="00F13FAD" w:rsidRPr="00927DB9" w:rsidRDefault="00F13FAD" w:rsidP="00F13FAD">
      <w:pPr>
        <w:shd w:val="clear" w:color="auto" w:fill="F7F7F8"/>
        <w:spacing w:before="300" w:after="300" w:line="240" w:lineRule="auto"/>
        <w:jc w:val="both"/>
        <w:rPr>
          <w:rFonts w:ascii="Segoe UI" w:eastAsia="Times New Roman" w:hAnsi="Segoe UI" w:cs="Segoe UI"/>
          <w:color w:val="374151"/>
          <w:sz w:val="24"/>
          <w:szCs w:val="24"/>
          <w:lang w:val="en-IN" w:eastAsia="en-IN"/>
        </w:rPr>
      </w:pPr>
      <w:r w:rsidRPr="00927DB9">
        <w:rPr>
          <w:rFonts w:ascii="KaTeX_Math" w:eastAsia="Times New Roman" w:hAnsi="KaTeX_Math" w:cs="Times New Roman"/>
          <w:iCs/>
          <w:color w:val="374151"/>
          <w:sz w:val="29"/>
          <w:szCs w:val="29"/>
          <w:lang w:val="en-IN" w:eastAsia="en-IN"/>
        </w:rPr>
        <w:t>P</w:t>
      </w:r>
      <w:r w:rsidRPr="00927DB9">
        <w:rPr>
          <w:rFonts w:ascii="Times New Roman" w:eastAsia="Times New Roman" w:hAnsi="Times New Roman" w:cs="Times New Roman"/>
          <w:color w:val="374151"/>
          <w:sz w:val="29"/>
          <w:szCs w:val="29"/>
          <w:lang w:val="en-IN" w:eastAsia="en-IN"/>
        </w:rPr>
        <w:t>/</w:t>
      </w:r>
      <w:r w:rsidRPr="00927DB9">
        <w:rPr>
          <w:rFonts w:ascii="KaTeX_Math" w:eastAsia="Times New Roman" w:hAnsi="KaTeX_Math" w:cs="Times New Roman"/>
          <w:iCs/>
          <w:color w:val="374151"/>
          <w:sz w:val="29"/>
          <w:szCs w:val="29"/>
          <w:lang w:val="en-IN" w:eastAsia="en-IN"/>
        </w:rPr>
        <w:t>E</w:t>
      </w:r>
      <w:r>
        <w:rPr>
          <w:rFonts w:ascii="KaTeX_Math" w:eastAsia="Times New Roman" w:hAnsi="KaTeX_Math" w:cs="Times New Roman"/>
          <w:iCs/>
          <w:color w:val="374151"/>
          <w:sz w:val="29"/>
          <w:szCs w:val="29"/>
          <w:lang w:val="en-IN" w:eastAsia="en-IN"/>
        </w:rPr>
        <w:t xml:space="preserve"> </w:t>
      </w:r>
      <w:r w:rsidRPr="00927DB9">
        <w:rPr>
          <w:rFonts w:ascii="KaTeX_Math" w:eastAsia="Times New Roman" w:hAnsi="KaTeX_Math" w:cs="Times New Roman"/>
          <w:iCs/>
          <w:color w:val="374151"/>
          <w:sz w:val="29"/>
          <w:szCs w:val="29"/>
          <w:lang w:val="en-IN" w:eastAsia="en-IN"/>
        </w:rPr>
        <w:t xml:space="preserve">Ratio </w:t>
      </w:r>
      <w:r w:rsidRPr="00927DB9">
        <w:rPr>
          <w:rFonts w:ascii="Times New Roman" w:eastAsia="Times New Roman" w:hAnsi="Times New Roman" w:cs="Times New Roman"/>
          <w:color w:val="374151"/>
          <w:sz w:val="29"/>
          <w:szCs w:val="29"/>
          <w:lang w:val="en-IN" w:eastAsia="en-IN"/>
        </w:rPr>
        <w:t xml:space="preserve">= </w:t>
      </w:r>
      <w:r>
        <w:rPr>
          <w:rFonts w:ascii="Times New Roman" w:eastAsia="Times New Roman" w:hAnsi="Times New Roman" w:cs="Times New Roman"/>
          <w:color w:val="374151"/>
          <w:sz w:val="29"/>
          <w:szCs w:val="29"/>
          <w:lang w:val="en-IN" w:eastAsia="en-IN"/>
        </w:rPr>
        <w:t xml:space="preserve">Market Price per share (MPS) / </w:t>
      </w:r>
      <w:r w:rsidRPr="00927DB9">
        <w:rPr>
          <w:rFonts w:ascii="Times New Roman" w:eastAsia="Times New Roman" w:hAnsi="Times New Roman" w:cs="Times New Roman"/>
          <w:color w:val="374151"/>
          <w:sz w:val="29"/>
          <w:szCs w:val="29"/>
          <w:bdr w:val="none" w:sz="0" w:space="0" w:color="auto" w:frame="1"/>
          <w:lang w:val="en-IN" w:eastAsia="en-IN"/>
        </w:rPr>
        <w:t>Earnings per Share (EPS)</w:t>
      </w:r>
      <w:r w:rsidRPr="00927DB9">
        <w:rPr>
          <w:rFonts w:ascii="Times New Roman" w:eastAsia="Times New Roman" w:hAnsi="Times New Roman" w:cs="Times New Roman"/>
          <w:color w:val="374151"/>
          <w:sz w:val="2"/>
          <w:szCs w:val="2"/>
          <w:bdr w:val="single" w:sz="2" w:space="0" w:color="D9D9E3" w:frame="1"/>
          <w:lang w:val="en-IN" w:eastAsia="en-IN"/>
        </w:rPr>
        <w:t>​</w:t>
      </w:r>
    </w:p>
    <w:p w14:paraId="003F2157" w14:textId="77777777" w:rsidR="00F13FAD" w:rsidRPr="00927DB9" w:rsidRDefault="00F13FAD" w:rsidP="00F13FAD">
      <w:pPr>
        <w:shd w:val="clear" w:color="auto" w:fill="F7F7F8"/>
        <w:spacing w:before="300" w:after="300" w:line="240" w:lineRule="auto"/>
        <w:jc w:val="both"/>
        <w:rPr>
          <w:rFonts w:ascii="Segoe UI" w:eastAsia="Times New Roman" w:hAnsi="Segoe UI" w:cs="Segoe UI"/>
          <w:color w:val="374151"/>
          <w:sz w:val="24"/>
          <w:szCs w:val="24"/>
          <w:lang w:val="en-IN" w:eastAsia="en-IN"/>
        </w:rPr>
      </w:pPr>
      <w:r w:rsidRPr="00927DB9">
        <w:rPr>
          <w:rFonts w:ascii="Segoe UI" w:eastAsia="Times New Roman" w:hAnsi="Segoe UI" w:cs="Segoe UI"/>
          <w:color w:val="374151"/>
          <w:sz w:val="24"/>
          <w:szCs w:val="24"/>
          <w:lang w:val="en-IN" w:eastAsia="en-IN"/>
        </w:rPr>
        <w:t>Where:</w:t>
      </w:r>
    </w:p>
    <w:p w14:paraId="10EEBF08" w14:textId="77777777" w:rsidR="00F13FAD" w:rsidRPr="00927DB9" w:rsidRDefault="00F13FAD" w:rsidP="00F13FAD">
      <w:pPr>
        <w:numPr>
          <w:ilvl w:val="0"/>
          <w:numId w:val="32"/>
        </w:numPr>
        <w:shd w:val="clear" w:color="auto" w:fill="F7F7F8"/>
        <w:spacing w:after="0" w:line="240" w:lineRule="auto"/>
        <w:ind w:left="0"/>
        <w:jc w:val="both"/>
        <w:rPr>
          <w:rFonts w:ascii="Segoe UI" w:eastAsia="Times New Roman" w:hAnsi="Segoe UI" w:cs="Segoe UI"/>
          <w:color w:val="374151"/>
          <w:sz w:val="24"/>
          <w:szCs w:val="24"/>
          <w:lang w:val="en-IN" w:eastAsia="en-IN"/>
        </w:rPr>
      </w:pPr>
      <w:r w:rsidRPr="00927DB9">
        <w:rPr>
          <w:rFonts w:ascii="Segoe UI" w:eastAsia="Times New Roman" w:hAnsi="Segoe UI" w:cs="Segoe UI"/>
          <w:color w:val="374151"/>
          <w:sz w:val="24"/>
          <w:szCs w:val="24"/>
          <w:lang w:val="en-IN" w:eastAsia="en-IN"/>
        </w:rPr>
        <w:t>Market Price per Share: The current market price of one share of the company's stock.</w:t>
      </w:r>
    </w:p>
    <w:p w14:paraId="322340C5" w14:textId="77777777" w:rsidR="00F13FAD" w:rsidRPr="00927DB9" w:rsidRDefault="00F13FAD" w:rsidP="00F13FAD">
      <w:pPr>
        <w:numPr>
          <w:ilvl w:val="0"/>
          <w:numId w:val="32"/>
        </w:numPr>
        <w:shd w:val="clear" w:color="auto" w:fill="F7F7F8"/>
        <w:spacing w:after="0" w:line="240" w:lineRule="auto"/>
        <w:ind w:left="0"/>
        <w:jc w:val="both"/>
        <w:rPr>
          <w:rFonts w:ascii="Segoe UI" w:eastAsia="Times New Roman" w:hAnsi="Segoe UI" w:cs="Segoe UI"/>
          <w:color w:val="374151"/>
          <w:sz w:val="24"/>
          <w:szCs w:val="24"/>
          <w:lang w:val="en-IN" w:eastAsia="en-IN"/>
        </w:rPr>
      </w:pPr>
      <w:r w:rsidRPr="00927DB9">
        <w:rPr>
          <w:rFonts w:ascii="Segoe UI" w:eastAsia="Times New Roman" w:hAnsi="Segoe UI" w:cs="Segoe UI"/>
          <w:color w:val="374151"/>
          <w:sz w:val="24"/>
          <w:szCs w:val="24"/>
          <w:lang w:val="en-IN" w:eastAsia="en-IN"/>
        </w:rPr>
        <w:t>Earnings per Share (EPS): The company's net income (earnings) divided by the total number of outstanding shares.</w:t>
      </w:r>
    </w:p>
    <w:p w14:paraId="0D788384" w14:textId="77777777" w:rsidR="00F13FAD" w:rsidRPr="00927DB9" w:rsidRDefault="00F13FAD" w:rsidP="00F13FAD">
      <w:pPr>
        <w:shd w:val="clear" w:color="auto" w:fill="F7F7F8"/>
        <w:spacing w:before="300" w:after="300" w:line="240" w:lineRule="auto"/>
        <w:jc w:val="both"/>
        <w:rPr>
          <w:rFonts w:ascii="Segoe UI" w:eastAsia="Times New Roman" w:hAnsi="Segoe UI" w:cs="Segoe UI"/>
          <w:color w:val="374151"/>
          <w:sz w:val="24"/>
          <w:szCs w:val="24"/>
          <w:lang w:val="en-IN" w:eastAsia="en-IN"/>
        </w:rPr>
      </w:pPr>
      <w:r w:rsidRPr="00927DB9">
        <w:rPr>
          <w:rFonts w:ascii="Segoe UI" w:eastAsia="Times New Roman" w:hAnsi="Segoe UI" w:cs="Segoe UI"/>
          <w:b/>
          <w:bCs/>
          <w:color w:val="374151"/>
          <w:sz w:val="24"/>
          <w:szCs w:val="24"/>
          <w:lang w:val="en-IN" w:eastAsia="en-IN"/>
        </w:rPr>
        <w:t>Interpretation of the P/E Ratio:</w:t>
      </w:r>
    </w:p>
    <w:p w14:paraId="635A229D" w14:textId="77777777" w:rsidR="00F13FAD" w:rsidRPr="00927DB9" w:rsidRDefault="00F13FAD" w:rsidP="00F13FAD">
      <w:pPr>
        <w:shd w:val="clear" w:color="auto" w:fill="F7F7F8"/>
        <w:spacing w:before="300" w:after="300" w:line="240" w:lineRule="auto"/>
        <w:jc w:val="both"/>
        <w:rPr>
          <w:rFonts w:ascii="Segoe UI" w:eastAsia="Times New Roman" w:hAnsi="Segoe UI" w:cs="Segoe UI"/>
          <w:color w:val="374151"/>
          <w:sz w:val="24"/>
          <w:szCs w:val="24"/>
          <w:lang w:val="en-IN" w:eastAsia="en-IN"/>
        </w:rPr>
      </w:pPr>
      <w:r w:rsidRPr="00927DB9">
        <w:rPr>
          <w:rFonts w:ascii="Segoe UI" w:eastAsia="Times New Roman" w:hAnsi="Segoe UI" w:cs="Segoe UI"/>
          <w:color w:val="374151"/>
          <w:sz w:val="24"/>
          <w:szCs w:val="24"/>
          <w:lang w:val="en-IN" w:eastAsia="en-IN"/>
        </w:rPr>
        <w:t>The P/E ratio serves as a valuation and investment indicator with the following key interpretations:</w:t>
      </w:r>
    </w:p>
    <w:p w14:paraId="13EEBBB4" w14:textId="77777777" w:rsidR="00F13FAD" w:rsidRPr="00927DB9" w:rsidRDefault="00F13FAD" w:rsidP="00F13FAD">
      <w:pPr>
        <w:numPr>
          <w:ilvl w:val="0"/>
          <w:numId w:val="33"/>
        </w:numPr>
        <w:shd w:val="clear" w:color="auto" w:fill="F7F7F8"/>
        <w:spacing w:after="0" w:line="240" w:lineRule="auto"/>
        <w:ind w:left="0"/>
        <w:jc w:val="both"/>
        <w:rPr>
          <w:rFonts w:ascii="Segoe UI" w:eastAsia="Times New Roman" w:hAnsi="Segoe UI" w:cs="Segoe UI"/>
          <w:color w:val="374151"/>
          <w:sz w:val="24"/>
          <w:szCs w:val="24"/>
          <w:lang w:val="en-IN" w:eastAsia="en-IN"/>
        </w:rPr>
      </w:pPr>
      <w:r w:rsidRPr="00927DB9">
        <w:rPr>
          <w:rFonts w:ascii="Segoe UI" w:eastAsia="Times New Roman" w:hAnsi="Segoe UI" w:cs="Segoe UI"/>
          <w:b/>
          <w:bCs/>
          <w:color w:val="374151"/>
          <w:sz w:val="24"/>
          <w:szCs w:val="24"/>
          <w:lang w:val="en-IN" w:eastAsia="en-IN"/>
        </w:rPr>
        <w:t>High P/E Ratio</w:t>
      </w:r>
      <w:r w:rsidRPr="00927DB9">
        <w:rPr>
          <w:rFonts w:ascii="Segoe UI" w:eastAsia="Times New Roman" w:hAnsi="Segoe UI" w:cs="Segoe UI"/>
          <w:color w:val="374151"/>
          <w:sz w:val="24"/>
          <w:szCs w:val="24"/>
          <w:lang w:val="en-IN" w:eastAsia="en-IN"/>
        </w:rPr>
        <w:t>: A high P/E ratio suggests that investors are willing to pay a premium for the company's earnings. This may indicate optimism about the company's growth prospects, future profitability, or a high demand for its shares. However, it could also suggest that the stock is overvalued, and investors should exercise caution.</w:t>
      </w:r>
    </w:p>
    <w:p w14:paraId="48A393A0" w14:textId="77777777" w:rsidR="00F13FAD" w:rsidRPr="00927DB9" w:rsidRDefault="00F13FAD" w:rsidP="00F13FAD">
      <w:pPr>
        <w:numPr>
          <w:ilvl w:val="0"/>
          <w:numId w:val="33"/>
        </w:numPr>
        <w:shd w:val="clear" w:color="auto" w:fill="F7F7F8"/>
        <w:spacing w:after="0" w:line="240" w:lineRule="auto"/>
        <w:ind w:left="0"/>
        <w:jc w:val="both"/>
        <w:rPr>
          <w:rFonts w:ascii="Segoe UI" w:eastAsia="Times New Roman" w:hAnsi="Segoe UI" w:cs="Segoe UI"/>
          <w:color w:val="374151"/>
          <w:sz w:val="24"/>
          <w:szCs w:val="24"/>
          <w:lang w:val="en-IN" w:eastAsia="en-IN"/>
        </w:rPr>
      </w:pPr>
      <w:r w:rsidRPr="00927DB9">
        <w:rPr>
          <w:rFonts w:ascii="Segoe UI" w:eastAsia="Times New Roman" w:hAnsi="Segoe UI" w:cs="Segoe UI"/>
          <w:b/>
          <w:bCs/>
          <w:color w:val="374151"/>
          <w:sz w:val="24"/>
          <w:szCs w:val="24"/>
          <w:lang w:val="en-IN" w:eastAsia="en-IN"/>
        </w:rPr>
        <w:t>Low P/E Ratio</w:t>
      </w:r>
      <w:r w:rsidRPr="00927DB9">
        <w:rPr>
          <w:rFonts w:ascii="Segoe UI" w:eastAsia="Times New Roman" w:hAnsi="Segoe UI" w:cs="Segoe UI"/>
          <w:color w:val="374151"/>
          <w:sz w:val="24"/>
          <w:szCs w:val="24"/>
          <w:lang w:val="en-IN" w:eastAsia="en-IN"/>
        </w:rPr>
        <w:t>: A low P/E ratio implies that the company's stock is relatively inexpensive compared to its current earnings. It may indicate that the company is undervalued or that investors have lower expectations for future growth. A low P/E ratio doesn't necessarily mean a stock is a good investment, as it may reflect underlying issues with the company.</w:t>
      </w:r>
    </w:p>
    <w:p w14:paraId="4663338C" w14:textId="77777777" w:rsidR="00F13FAD" w:rsidRPr="00927DB9" w:rsidRDefault="00F13FAD" w:rsidP="00F13FAD">
      <w:pPr>
        <w:numPr>
          <w:ilvl w:val="0"/>
          <w:numId w:val="33"/>
        </w:numPr>
        <w:shd w:val="clear" w:color="auto" w:fill="F7F7F8"/>
        <w:spacing w:after="0" w:line="240" w:lineRule="auto"/>
        <w:ind w:left="0"/>
        <w:jc w:val="both"/>
        <w:rPr>
          <w:rFonts w:ascii="Segoe UI" w:eastAsia="Times New Roman" w:hAnsi="Segoe UI" w:cs="Segoe UI"/>
          <w:color w:val="374151"/>
          <w:sz w:val="24"/>
          <w:szCs w:val="24"/>
          <w:lang w:val="en-IN" w:eastAsia="en-IN"/>
        </w:rPr>
      </w:pPr>
      <w:r w:rsidRPr="00927DB9">
        <w:rPr>
          <w:rFonts w:ascii="Segoe UI" w:eastAsia="Times New Roman" w:hAnsi="Segoe UI" w:cs="Segoe UI"/>
          <w:b/>
          <w:bCs/>
          <w:color w:val="374151"/>
          <w:sz w:val="24"/>
          <w:szCs w:val="24"/>
          <w:lang w:val="en-IN" w:eastAsia="en-IN"/>
        </w:rPr>
        <w:t>Comparative Analysis</w:t>
      </w:r>
      <w:r w:rsidRPr="00927DB9">
        <w:rPr>
          <w:rFonts w:ascii="Segoe UI" w:eastAsia="Times New Roman" w:hAnsi="Segoe UI" w:cs="Segoe UI"/>
          <w:color w:val="374151"/>
          <w:sz w:val="24"/>
          <w:szCs w:val="24"/>
          <w:lang w:val="en-IN" w:eastAsia="en-IN"/>
        </w:rPr>
        <w:t>: To assess the P/E ratio accurately, it's crucial to compare it with similar companies in the same industry or sector. A higher P/E ratio than competitors may suggest that the company is more highly valued, while a lower P/E ratio may indicate it's less valued. Comparing P/E ratios within the same industry can provide valuable insights.</w:t>
      </w:r>
    </w:p>
    <w:p w14:paraId="66BD5434" w14:textId="77777777" w:rsidR="00F13FAD" w:rsidRPr="00927DB9" w:rsidRDefault="00F13FAD" w:rsidP="00F13FAD">
      <w:pPr>
        <w:numPr>
          <w:ilvl w:val="0"/>
          <w:numId w:val="33"/>
        </w:numPr>
        <w:shd w:val="clear" w:color="auto" w:fill="F7F7F8"/>
        <w:spacing w:after="0" w:line="240" w:lineRule="auto"/>
        <w:ind w:left="0"/>
        <w:jc w:val="both"/>
        <w:rPr>
          <w:rFonts w:ascii="Segoe UI" w:eastAsia="Times New Roman" w:hAnsi="Segoe UI" w:cs="Segoe UI"/>
          <w:color w:val="374151"/>
          <w:sz w:val="24"/>
          <w:szCs w:val="24"/>
          <w:lang w:val="en-IN" w:eastAsia="en-IN"/>
        </w:rPr>
      </w:pPr>
      <w:r w:rsidRPr="00927DB9">
        <w:rPr>
          <w:rFonts w:ascii="Segoe UI" w:eastAsia="Times New Roman" w:hAnsi="Segoe UI" w:cs="Segoe UI"/>
          <w:b/>
          <w:bCs/>
          <w:color w:val="374151"/>
          <w:sz w:val="24"/>
          <w:szCs w:val="24"/>
          <w:lang w:val="en-IN" w:eastAsia="en-IN"/>
        </w:rPr>
        <w:t>Growth Expectations</w:t>
      </w:r>
      <w:r w:rsidRPr="00927DB9">
        <w:rPr>
          <w:rFonts w:ascii="Segoe UI" w:eastAsia="Times New Roman" w:hAnsi="Segoe UI" w:cs="Segoe UI"/>
          <w:color w:val="374151"/>
          <w:sz w:val="24"/>
          <w:szCs w:val="24"/>
          <w:lang w:val="en-IN" w:eastAsia="en-IN"/>
        </w:rPr>
        <w:t>: The P/E ratio doesn't provide information about the company's growth rate, but it can be used in conjunction with other metrics to gauge expectations. For example, a high P/E ratio combined with strong growth prospects might be justified, whereas a high P/E ratio without growth potential could indicate overvaluation.</w:t>
      </w:r>
    </w:p>
    <w:p w14:paraId="085440A3" w14:textId="77777777" w:rsidR="00F13FAD" w:rsidRPr="00927DB9" w:rsidRDefault="00F13FAD" w:rsidP="00F13FAD">
      <w:pPr>
        <w:numPr>
          <w:ilvl w:val="0"/>
          <w:numId w:val="33"/>
        </w:numPr>
        <w:shd w:val="clear" w:color="auto" w:fill="F7F7F8"/>
        <w:spacing w:after="0" w:line="240" w:lineRule="auto"/>
        <w:ind w:left="0"/>
        <w:jc w:val="both"/>
        <w:rPr>
          <w:rFonts w:ascii="Segoe UI" w:eastAsia="Times New Roman" w:hAnsi="Segoe UI" w:cs="Segoe UI"/>
          <w:color w:val="374151"/>
          <w:sz w:val="24"/>
          <w:szCs w:val="24"/>
          <w:lang w:val="en-IN" w:eastAsia="en-IN"/>
        </w:rPr>
      </w:pPr>
      <w:r w:rsidRPr="00927DB9">
        <w:rPr>
          <w:rFonts w:ascii="Segoe UI" w:eastAsia="Times New Roman" w:hAnsi="Segoe UI" w:cs="Segoe UI"/>
          <w:b/>
          <w:bCs/>
          <w:color w:val="374151"/>
          <w:sz w:val="24"/>
          <w:szCs w:val="24"/>
          <w:lang w:val="en-IN" w:eastAsia="en-IN"/>
        </w:rPr>
        <w:t>Earnings Quality</w:t>
      </w:r>
      <w:r w:rsidRPr="00927DB9">
        <w:rPr>
          <w:rFonts w:ascii="Segoe UI" w:eastAsia="Times New Roman" w:hAnsi="Segoe UI" w:cs="Segoe UI"/>
          <w:color w:val="374151"/>
          <w:sz w:val="24"/>
          <w:szCs w:val="24"/>
          <w:lang w:val="en-IN" w:eastAsia="en-IN"/>
        </w:rPr>
        <w:t>: It's important to consider the quality and sustainability of the company's earnings. A high P/E ratio based on non-recurring or one-time gains may not be indicative of the company's true value.</w:t>
      </w:r>
    </w:p>
    <w:p w14:paraId="2340565A" w14:textId="77777777" w:rsidR="00F13FAD" w:rsidRPr="00927DB9" w:rsidRDefault="00F13FAD" w:rsidP="00F13FAD">
      <w:pPr>
        <w:numPr>
          <w:ilvl w:val="0"/>
          <w:numId w:val="33"/>
        </w:numPr>
        <w:shd w:val="clear" w:color="auto" w:fill="F7F7F8"/>
        <w:spacing w:after="0" w:line="240" w:lineRule="auto"/>
        <w:ind w:left="0"/>
        <w:jc w:val="both"/>
        <w:rPr>
          <w:rFonts w:ascii="Segoe UI" w:eastAsia="Times New Roman" w:hAnsi="Segoe UI" w:cs="Segoe UI"/>
          <w:color w:val="374151"/>
          <w:sz w:val="24"/>
          <w:szCs w:val="24"/>
          <w:lang w:val="en-IN" w:eastAsia="en-IN"/>
        </w:rPr>
      </w:pPr>
      <w:r w:rsidRPr="00927DB9">
        <w:rPr>
          <w:rFonts w:ascii="Segoe UI" w:eastAsia="Times New Roman" w:hAnsi="Segoe UI" w:cs="Segoe UI"/>
          <w:b/>
          <w:bCs/>
          <w:color w:val="374151"/>
          <w:sz w:val="24"/>
          <w:szCs w:val="24"/>
          <w:lang w:val="en-IN" w:eastAsia="en-IN"/>
        </w:rPr>
        <w:t>Risk and Volatility</w:t>
      </w:r>
      <w:r w:rsidRPr="00927DB9">
        <w:rPr>
          <w:rFonts w:ascii="Segoe UI" w:eastAsia="Times New Roman" w:hAnsi="Segoe UI" w:cs="Segoe UI"/>
          <w:color w:val="374151"/>
          <w:sz w:val="24"/>
          <w:szCs w:val="24"/>
          <w:lang w:val="en-IN" w:eastAsia="en-IN"/>
        </w:rPr>
        <w:t>: P/E ratios can vary widely based on industry, company size, and market conditions. It's essential to consider a company's risk profile and the broader economic context when interpreting the P/E ratio.</w:t>
      </w:r>
    </w:p>
    <w:p w14:paraId="763D89D1" w14:textId="77777777" w:rsidR="00F13FAD" w:rsidRPr="00927DB9" w:rsidRDefault="00F13FAD" w:rsidP="00F13FAD">
      <w:pPr>
        <w:shd w:val="clear" w:color="auto" w:fill="F7F7F8"/>
        <w:spacing w:before="300" w:after="0" w:line="240" w:lineRule="auto"/>
        <w:jc w:val="both"/>
        <w:rPr>
          <w:rFonts w:ascii="Segoe UI" w:eastAsia="Times New Roman" w:hAnsi="Segoe UI" w:cs="Segoe UI"/>
          <w:color w:val="374151"/>
          <w:sz w:val="24"/>
          <w:szCs w:val="24"/>
          <w:lang w:val="en-IN" w:eastAsia="en-IN"/>
        </w:rPr>
      </w:pPr>
      <w:r w:rsidRPr="00927DB9">
        <w:rPr>
          <w:rFonts w:ascii="Segoe UI" w:eastAsia="Times New Roman" w:hAnsi="Segoe UI" w:cs="Segoe UI"/>
          <w:color w:val="374151"/>
          <w:sz w:val="24"/>
          <w:szCs w:val="24"/>
          <w:lang w:val="en-IN" w:eastAsia="en-IN"/>
        </w:rPr>
        <w:t>Overall, the P/E ratio is a valuable tool for investors, but it should be used in conjunction with other financial metrics and a thorough analysis of the company's fundamentals, competitive position, and industry trends to make well-informed investment decisions</w:t>
      </w:r>
    </w:p>
    <w:p w14:paraId="31DD0FF0" w14:textId="77777777" w:rsidR="00F13FAD" w:rsidRDefault="00F13FAD" w:rsidP="00F13FAD">
      <w:pPr>
        <w:jc w:val="both"/>
      </w:pPr>
    </w:p>
    <w:p w14:paraId="08B92B27" w14:textId="77777777" w:rsidR="00F13FAD" w:rsidRDefault="00F13FAD" w:rsidP="00F13FAD">
      <w:pPr>
        <w:jc w:val="both"/>
      </w:pPr>
      <w:r>
        <w:t>Fundamental Analysis – Economy, Industry and Company Model</w:t>
      </w:r>
    </w:p>
    <w:p w14:paraId="42B93D27" w14:textId="77777777" w:rsidR="00F13FAD" w:rsidRPr="00927DB9" w:rsidRDefault="00F13FAD" w:rsidP="00F13FAD">
      <w:pPr>
        <w:spacing w:after="300" w:line="240" w:lineRule="auto"/>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sz w:val="24"/>
          <w:szCs w:val="24"/>
          <w:lang w:val="en-IN" w:eastAsia="en-IN"/>
        </w:rPr>
        <w:t>Fundamental analysis is a comprehensive approach used by investors to evaluate the potential of an investment by examining three key levels of analysis: the economy, the industry, and the company. This approach involves analyzing various economic, industry-specific, and company-specific factors to make informed investment decisions. Here's an overview of the Economy-Industry-Company (EIC) model in fundamental analysis:</w:t>
      </w:r>
    </w:p>
    <w:p w14:paraId="576BCDAB" w14:textId="77777777" w:rsidR="00F13FAD" w:rsidRPr="00927DB9" w:rsidRDefault="00F13FAD" w:rsidP="00F13FAD">
      <w:pPr>
        <w:spacing w:before="300" w:after="300" w:line="240" w:lineRule="auto"/>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1. Economic Analysis:</w:t>
      </w:r>
    </w:p>
    <w:p w14:paraId="5DBE046B" w14:textId="77777777" w:rsidR="00F13FAD" w:rsidRPr="00927DB9" w:rsidRDefault="00F13FAD" w:rsidP="00F13FAD">
      <w:pPr>
        <w:spacing w:before="300" w:after="300" w:line="240" w:lineRule="auto"/>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sz w:val="24"/>
          <w:szCs w:val="24"/>
          <w:lang w:val="en-IN" w:eastAsia="en-IN"/>
        </w:rPr>
        <w:t>Economic analysis involves assessing the overall macroeconomic environment in which a company operates. The goal is to understand how broader economic factors can impact the company's performance and profitability. Key aspects of economic analysis include:</w:t>
      </w:r>
    </w:p>
    <w:p w14:paraId="5DBC5AE8" w14:textId="77777777" w:rsidR="00F13FAD" w:rsidRPr="00927DB9" w:rsidRDefault="00F13FAD" w:rsidP="00F13FAD">
      <w:pPr>
        <w:numPr>
          <w:ilvl w:val="0"/>
          <w:numId w:val="34"/>
        </w:numPr>
        <w:spacing w:after="0" w:line="240" w:lineRule="auto"/>
        <w:ind w:left="0"/>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Economic Indicators:</w:t>
      </w:r>
      <w:r w:rsidRPr="00927DB9">
        <w:rPr>
          <w:rFonts w:ascii="Times New Roman" w:eastAsia="Times New Roman" w:hAnsi="Times New Roman" w:cs="Times New Roman"/>
          <w:sz w:val="24"/>
          <w:szCs w:val="24"/>
          <w:lang w:val="en-IN" w:eastAsia="en-IN"/>
        </w:rPr>
        <w:t xml:space="preserve"> Evaluating economic indicators like GDP growth, inflation rates, interest rates, and employment figures to gauge the health of the economy.</w:t>
      </w:r>
    </w:p>
    <w:p w14:paraId="1DF84E8D" w14:textId="77777777" w:rsidR="00F13FAD" w:rsidRPr="00927DB9" w:rsidRDefault="00F13FAD" w:rsidP="00F13FAD">
      <w:pPr>
        <w:numPr>
          <w:ilvl w:val="0"/>
          <w:numId w:val="34"/>
        </w:numPr>
        <w:spacing w:after="0" w:line="240" w:lineRule="auto"/>
        <w:ind w:left="0"/>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Government Policies:</w:t>
      </w:r>
      <w:r w:rsidRPr="00927DB9">
        <w:rPr>
          <w:rFonts w:ascii="Times New Roman" w:eastAsia="Times New Roman" w:hAnsi="Times New Roman" w:cs="Times New Roman"/>
          <w:sz w:val="24"/>
          <w:szCs w:val="24"/>
          <w:lang w:val="en-IN" w:eastAsia="en-IN"/>
        </w:rPr>
        <w:t xml:space="preserve"> Examining government policies, fiscal and monetary measures, and regulatory changes that can influence business conditions and industries.</w:t>
      </w:r>
    </w:p>
    <w:p w14:paraId="59EA29A6" w14:textId="77777777" w:rsidR="00F13FAD" w:rsidRPr="00927DB9" w:rsidRDefault="00F13FAD" w:rsidP="00F13FAD">
      <w:pPr>
        <w:numPr>
          <w:ilvl w:val="0"/>
          <w:numId w:val="34"/>
        </w:numPr>
        <w:spacing w:after="0" w:line="240" w:lineRule="auto"/>
        <w:ind w:left="0"/>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Consumer Behavior:</w:t>
      </w:r>
      <w:r w:rsidRPr="00927DB9">
        <w:rPr>
          <w:rFonts w:ascii="Times New Roman" w:eastAsia="Times New Roman" w:hAnsi="Times New Roman" w:cs="Times New Roman"/>
          <w:sz w:val="24"/>
          <w:szCs w:val="24"/>
          <w:lang w:val="en-IN" w:eastAsia="en-IN"/>
        </w:rPr>
        <w:t xml:space="preserve"> Understanding consumer spending patterns, consumer sentiment, and demographic trends that affect demand for products and services.</w:t>
      </w:r>
    </w:p>
    <w:p w14:paraId="074CA883" w14:textId="77777777" w:rsidR="00F13FAD" w:rsidRPr="00927DB9" w:rsidRDefault="00F13FAD" w:rsidP="00F13FAD">
      <w:pPr>
        <w:numPr>
          <w:ilvl w:val="0"/>
          <w:numId w:val="34"/>
        </w:numPr>
        <w:spacing w:after="0" w:line="240" w:lineRule="auto"/>
        <w:ind w:left="0"/>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Global Economic Factors:</w:t>
      </w:r>
      <w:r w:rsidRPr="00927DB9">
        <w:rPr>
          <w:rFonts w:ascii="Times New Roman" w:eastAsia="Times New Roman" w:hAnsi="Times New Roman" w:cs="Times New Roman"/>
          <w:sz w:val="24"/>
          <w:szCs w:val="24"/>
          <w:lang w:val="en-IN" w:eastAsia="en-IN"/>
        </w:rPr>
        <w:t xml:space="preserve"> Considering international economic conditions, trade policies, and currency exchange rates for companies with global operations.</w:t>
      </w:r>
    </w:p>
    <w:p w14:paraId="22E96FF3" w14:textId="77777777" w:rsidR="00F13FAD" w:rsidRPr="00927DB9" w:rsidRDefault="00F13FAD" w:rsidP="00F13FAD">
      <w:pPr>
        <w:spacing w:before="300" w:after="300" w:line="240" w:lineRule="auto"/>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2. Industry Analysis:</w:t>
      </w:r>
    </w:p>
    <w:p w14:paraId="70788641" w14:textId="77777777" w:rsidR="00F13FAD" w:rsidRPr="00927DB9" w:rsidRDefault="00F13FAD" w:rsidP="00F13FAD">
      <w:pPr>
        <w:spacing w:before="300" w:after="300" w:line="240" w:lineRule="auto"/>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sz w:val="24"/>
          <w:szCs w:val="24"/>
          <w:lang w:val="en-IN" w:eastAsia="en-IN"/>
        </w:rPr>
        <w:t>Industry analysis focuses on understanding the specific industry or sector in which the company operates. It helps investors assess the attractiveness of the industry and the competitive forces at play. Key aspects of industry analysis include:</w:t>
      </w:r>
    </w:p>
    <w:p w14:paraId="5AC368AB" w14:textId="77777777" w:rsidR="00F13FAD" w:rsidRPr="00927DB9" w:rsidRDefault="00F13FAD" w:rsidP="00F13FAD">
      <w:pPr>
        <w:numPr>
          <w:ilvl w:val="0"/>
          <w:numId w:val="35"/>
        </w:numPr>
        <w:spacing w:after="0" w:line="240" w:lineRule="auto"/>
        <w:ind w:left="0"/>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Industry Structure:</w:t>
      </w:r>
      <w:r w:rsidRPr="00927DB9">
        <w:rPr>
          <w:rFonts w:ascii="Times New Roman" w:eastAsia="Times New Roman" w:hAnsi="Times New Roman" w:cs="Times New Roman"/>
          <w:sz w:val="24"/>
          <w:szCs w:val="24"/>
          <w:lang w:val="en-IN" w:eastAsia="en-IN"/>
        </w:rPr>
        <w:t xml:space="preserve"> Identifying the number and size of competitors, barriers to entry, and the competitive landscape within the industry.</w:t>
      </w:r>
    </w:p>
    <w:p w14:paraId="1593481B" w14:textId="77777777" w:rsidR="00F13FAD" w:rsidRPr="00927DB9" w:rsidRDefault="00F13FAD" w:rsidP="00F13FAD">
      <w:pPr>
        <w:numPr>
          <w:ilvl w:val="0"/>
          <w:numId w:val="35"/>
        </w:numPr>
        <w:spacing w:after="0" w:line="240" w:lineRule="auto"/>
        <w:ind w:left="0"/>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Market Trends:</w:t>
      </w:r>
      <w:r w:rsidRPr="00927DB9">
        <w:rPr>
          <w:rFonts w:ascii="Times New Roman" w:eastAsia="Times New Roman" w:hAnsi="Times New Roman" w:cs="Times New Roman"/>
          <w:sz w:val="24"/>
          <w:szCs w:val="24"/>
          <w:lang w:val="en-IN" w:eastAsia="en-IN"/>
        </w:rPr>
        <w:t xml:space="preserve"> Analyzing market trends, growth prospects, and market size to determine the industry's potential.</w:t>
      </w:r>
    </w:p>
    <w:p w14:paraId="4E42016F" w14:textId="77777777" w:rsidR="00F13FAD" w:rsidRPr="00927DB9" w:rsidRDefault="00F13FAD" w:rsidP="00F13FAD">
      <w:pPr>
        <w:numPr>
          <w:ilvl w:val="0"/>
          <w:numId w:val="35"/>
        </w:numPr>
        <w:spacing w:after="0" w:line="240" w:lineRule="auto"/>
        <w:ind w:left="0"/>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Regulatory Environment:</w:t>
      </w:r>
      <w:r w:rsidRPr="00927DB9">
        <w:rPr>
          <w:rFonts w:ascii="Times New Roman" w:eastAsia="Times New Roman" w:hAnsi="Times New Roman" w:cs="Times New Roman"/>
          <w:sz w:val="24"/>
          <w:szCs w:val="24"/>
          <w:lang w:val="en-IN" w:eastAsia="en-IN"/>
        </w:rPr>
        <w:t xml:space="preserve"> Examining industry-specific regulations, government policies, and compliance requirements that can affect companies in the sector.</w:t>
      </w:r>
    </w:p>
    <w:p w14:paraId="553DE00E" w14:textId="77777777" w:rsidR="00F13FAD" w:rsidRPr="00927DB9" w:rsidRDefault="00F13FAD" w:rsidP="00F13FAD">
      <w:pPr>
        <w:numPr>
          <w:ilvl w:val="0"/>
          <w:numId w:val="35"/>
        </w:numPr>
        <w:spacing w:after="0" w:line="240" w:lineRule="auto"/>
        <w:ind w:left="0"/>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Technological Changes:</w:t>
      </w:r>
      <w:r w:rsidRPr="00927DB9">
        <w:rPr>
          <w:rFonts w:ascii="Times New Roman" w:eastAsia="Times New Roman" w:hAnsi="Times New Roman" w:cs="Times New Roman"/>
          <w:sz w:val="24"/>
          <w:szCs w:val="24"/>
          <w:lang w:val="en-IN" w:eastAsia="en-IN"/>
        </w:rPr>
        <w:t xml:space="preserve"> Assessing how technological advancements and innovations impact the industry's dynamics and competitiveness.</w:t>
      </w:r>
    </w:p>
    <w:p w14:paraId="41C96608" w14:textId="77777777" w:rsidR="00F13FAD" w:rsidRPr="00927DB9" w:rsidRDefault="00F13FAD" w:rsidP="00F13FAD">
      <w:pPr>
        <w:numPr>
          <w:ilvl w:val="0"/>
          <w:numId w:val="35"/>
        </w:numPr>
        <w:spacing w:after="0" w:line="240" w:lineRule="auto"/>
        <w:ind w:left="0"/>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Supply Chain and Distribution:</w:t>
      </w:r>
      <w:r w:rsidRPr="00927DB9">
        <w:rPr>
          <w:rFonts w:ascii="Times New Roman" w:eastAsia="Times New Roman" w:hAnsi="Times New Roman" w:cs="Times New Roman"/>
          <w:sz w:val="24"/>
          <w:szCs w:val="24"/>
          <w:lang w:val="en-IN" w:eastAsia="en-IN"/>
        </w:rPr>
        <w:t xml:space="preserve"> Understanding supply chain efficiencies, distribution networks, and logistics within the industry.</w:t>
      </w:r>
    </w:p>
    <w:p w14:paraId="665C1ECA" w14:textId="77777777" w:rsidR="00F13FAD" w:rsidRPr="00927DB9" w:rsidRDefault="00F13FAD" w:rsidP="00F13FAD">
      <w:pPr>
        <w:spacing w:before="300" w:after="300" w:line="240" w:lineRule="auto"/>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3. Company Analysis:</w:t>
      </w:r>
    </w:p>
    <w:p w14:paraId="77161C12" w14:textId="77777777" w:rsidR="00F13FAD" w:rsidRPr="00927DB9" w:rsidRDefault="00F13FAD" w:rsidP="00F13FAD">
      <w:pPr>
        <w:spacing w:before="300" w:after="300" w:line="240" w:lineRule="auto"/>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sz w:val="24"/>
          <w:szCs w:val="24"/>
          <w:lang w:val="en-IN" w:eastAsia="en-IN"/>
        </w:rPr>
        <w:t>Company analysis involves evaluating the financial health, operational performance, and competitive position of a specific company within its industry. Key aspects of company analysis include:</w:t>
      </w:r>
    </w:p>
    <w:p w14:paraId="263FE5F0" w14:textId="77777777" w:rsidR="00F13FAD" w:rsidRPr="00927DB9" w:rsidRDefault="00F13FAD" w:rsidP="00F13FAD">
      <w:pPr>
        <w:numPr>
          <w:ilvl w:val="0"/>
          <w:numId w:val="36"/>
        </w:numPr>
        <w:spacing w:after="0" w:line="240" w:lineRule="auto"/>
        <w:ind w:left="0"/>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Financial Statements:</w:t>
      </w:r>
      <w:r w:rsidRPr="00927DB9">
        <w:rPr>
          <w:rFonts w:ascii="Times New Roman" w:eastAsia="Times New Roman" w:hAnsi="Times New Roman" w:cs="Times New Roman"/>
          <w:sz w:val="24"/>
          <w:szCs w:val="24"/>
          <w:lang w:val="en-IN" w:eastAsia="en-IN"/>
        </w:rPr>
        <w:t xml:space="preserve"> Analyzing financial statements (income statement, balance sheet, cash flow statement) to assess revenue, expenses, profitability, liquidity, and solvency.</w:t>
      </w:r>
    </w:p>
    <w:p w14:paraId="7C64E45A" w14:textId="77777777" w:rsidR="00F13FAD" w:rsidRPr="00927DB9" w:rsidRDefault="00F13FAD" w:rsidP="00F13FAD">
      <w:pPr>
        <w:numPr>
          <w:ilvl w:val="0"/>
          <w:numId w:val="36"/>
        </w:numPr>
        <w:spacing w:after="0" w:line="240" w:lineRule="auto"/>
        <w:ind w:left="0"/>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Management and Leadership:</w:t>
      </w:r>
      <w:r w:rsidRPr="00927DB9">
        <w:rPr>
          <w:rFonts w:ascii="Times New Roman" w:eastAsia="Times New Roman" w:hAnsi="Times New Roman" w:cs="Times New Roman"/>
          <w:sz w:val="24"/>
          <w:szCs w:val="24"/>
          <w:lang w:val="en-IN" w:eastAsia="en-IN"/>
        </w:rPr>
        <w:t xml:space="preserve"> Assessing the competence and integrity of the company's management team, including their track record and strategic decisions.</w:t>
      </w:r>
    </w:p>
    <w:p w14:paraId="45994B6E" w14:textId="77777777" w:rsidR="00F13FAD" w:rsidRPr="00927DB9" w:rsidRDefault="00F13FAD" w:rsidP="00F13FAD">
      <w:pPr>
        <w:numPr>
          <w:ilvl w:val="0"/>
          <w:numId w:val="36"/>
        </w:numPr>
        <w:spacing w:after="0" w:line="240" w:lineRule="auto"/>
        <w:ind w:left="0"/>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Competitive Advantage:</w:t>
      </w:r>
      <w:r w:rsidRPr="00927DB9">
        <w:rPr>
          <w:rFonts w:ascii="Times New Roman" w:eastAsia="Times New Roman" w:hAnsi="Times New Roman" w:cs="Times New Roman"/>
          <w:sz w:val="24"/>
          <w:szCs w:val="24"/>
          <w:lang w:val="en-IN" w:eastAsia="en-IN"/>
        </w:rPr>
        <w:t xml:space="preserve"> Identifying the company's competitive advantages, such as patents, branding, intellectual property, or cost efficiencies.</w:t>
      </w:r>
    </w:p>
    <w:p w14:paraId="24EF82D2" w14:textId="77777777" w:rsidR="00F13FAD" w:rsidRPr="00927DB9" w:rsidRDefault="00F13FAD" w:rsidP="00F13FAD">
      <w:pPr>
        <w:numPr>
          <w:ilvl w:val="0"/>
          <w:numId w:val="36"/>
        </w:numPr>
        <w:spacing w:after="0" w:line="240" w:lineRule="auto"/>
        <w:ind w:left="0"/>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Product and Services:</w:t>
      </w:r>
      <w:r w:rsidRPr="00927DB9">
        <w:rPr>
          <w:rFonts w:ascii="Times New Roman" w:eastAsia="Times New Roman" w:hAnsi="Times New Roman" w:cs="Times New Roman"/>
          <w:sz w:val="24"/>
          <w:szCs w:val="24"/>
          <w:lang w:val="en-IN" w:eastAsia="en-IN"/>
        </w:rPr>
        <w:t xml:space="preserve"> Evaluating the company's products or services, customer base, market share, and growth potential.</w:t>
      </w:r>
    </w:p>
    <w:p w14:paraId="137A6D30" w14:textId="77777777" w:rsidR="00F13FAD" w:rsidRPr="00927DB9" w:rsidRDefault="00F13FAD" w:rsidP="00F13FAD">
      <w:pPr>
        <w:numPr>
          <w:ilvl w:val="0"/>
          <w:numId w:val="36"/>
        </w:numPr>
        <w:spacing w:after="0" w:line="240" w:lineRule="auto"/>
        <w:ind w:left="0"/>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Valuation:</w:t>
      </w:r>
      <w:r w:rsidRPr="00927DB9">
        <w:rPr>
          <w:rFonts w:ascii="Times New Roman" w:eastAsia="Times New Roman" w:hAnsi="Times New Roman" w:cs="Times New Roman"/>
          <w:sz w:val="24"/>
          <w:szCs w:val="24"/>
          <w:lang w:val="en-IN" w:eastAsia="en-IN"/>
        </w:rPr>
        <w:t xml:space="preserve"> Determining whether the company's stock is undervalued or overvalued based on various valuation metrics like price-to-earnings ratio (P/E), price-to-book ratio (P/B), and discounted cash flow (DCF) analysis.</w:t>
      </w:r>
    </w:p>
    <w:p w14:paraId="5ABB7512" w14:textId="77777777" w:rsidR="00F13FAD" w:rsidRPr="00927DB9" w:rsidRDefault="00F13FAD" w:rsidP="00F13FAD">
      <w:pPr>
        <w:numPr>
          <w:ilvl w:val="0"/>
          <w:numId w:val="36"/>
        </w:numPr>
        <w:spacing w:after="0" w:line="240" w:lineRule="auto"/>
        <w:ind w:left="0"/>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b/>
          <w:bCs/>
          <w:sz w:val="24"/>
          <w:szCs w:val="24"/>
          <w:lang w:val="en-IN" w:eastAsia="en-IN"/>
        </w:rPr>
        <w:t>Risks:</w:t>
      </w:r>
      <w:r w:rsidRPr="00927DB9">
        <w:rPr>
          <w:rFonts w:ascii="Times New Roman" w:eastAsia="Times New Roman" w:hAnsi="Times New Roman" w:cs="Times New Roman"/>
          <w:sz w:val="24"/>
          <w:szCs w:val="24"/>
          <w:lang w:val="en-IN" w:eastAsia="en-IN"/>
        </w:rPr>
        <w:t xml:space="preserve"> Identifying and assessing risks that the company faces, including industry-specific risks, operational risks, and market risks.</w:t>
      </w:r>
    </w:p>
    <w:p w14:paraId="64871AF0" w14:textId="77777777" w:rsidR="00F13FAD" w:rsidRPr="00927DB9" w:rsidRDefault="00F13FAD" w:rsidP="00F13FAD">
      <w:pPr>
        <w:spacing w:before="300" w:after="100" w:line="240" w:lineRule="auto"/>
        <w:jc w:val="both"/>
        <w:rPr>
          <w:rFonts w:ascii="Times New Roman" w:eastAsia="Times New Roman" w:hAnsi="Times New Roman" w:cs="Times New Roman"/>
          <w:sz w:val="24"/>
          <w:szCs w:val="24"/>
          <w:lang w:val="en-IN" w:eastAsia="en-IN"/>
        </w:rPr>
      </w:pPr>
      <w:r w:rsidRPr="00927DB9">
        <w:rPr>
          <w:rFonts w:ascii="Times New Roman" w:eastAsia="Times New Roman" w:hAnsi="Times New Roman" w:cs="Times New Roman"/>
          <w:sz w:val="24"/>
          <w:szCs w:val="24"/>
          <w:lang w:val="en-IN" w:eastAsia="en-IN"/>
        </w:rPr>
        <w:t>The EIC model in fundamental analysis integrates these three levels of analysis to form a comprehensive view of an investment opportunity. By examining the economic environment, the industry's prospects, and the specific company's fundamentals, investors can make more informed decisions about buying, holding, or selling a particular investment.</w:t>
      </w:r>
    </w:p>
    <w:p w14:paraId="2E215C81" w14:textId="77777777" w:rsidR="00F13FAD" w:rsidRPr="00927DB9" w:rsidRDefault="00F13FAD" w:rsidP="00F13FAD">
      <w:pPr>
        <w:spacing w:after="0" w:line="240" w:lineRule="auto"/>
        <w:jc w:val="both"/>
        <w:rPr>
          <w:rFonts w:ascii="Arial" w:eastAsia="Times New Roman" w:hAnsi="Arial" w:cs="Arial"/>
          <w:vanish/>
          <w:sz w:val="16"/>
          <w:szCs w:val="16"/>
          <w:lang w:val="en-IN" w:eastAsia="en-IN"/>
        </w:rPr>
      </w:pPr>
      <w:r w:rsidRPr="00927DB9">
        <w:rPr>
          <w:rFonts w:ascii="Arial" w:eastAsia="Times New Roman" w:hAnsi="Arial" w:cs="Arial"/>
          <w:vanish/>
          <w:sz w:val="16"/>
          <w:szCs w:val="16"/>
          <w:lang w:val="en-IN" w:eastAsia="en-IN"/>
        </w:rPr>
        <w:t>Top of Form</w:t>
      </w:r>
    </w:p>
    <w:p w14:paraId="50E6893E" w14:textId="77777777" w:rsidR="00F13FAD" w:rsidRDefault="00F13FAD" w:rsidP="00F13FAD">
      <w:pPr>
        <w:jc w:val="both"/>
      </w:pPr>
    </w:p>
    <w:p w14:paraId="372BFB32" w14:textId="77777777" w:rsidR="00F13FAD" w:rsidRDefault="00F13FAD" w:rsidP="00F13FAD">
      <w:pPr>
        <w:jc w:val="both"/>
      </w:pPr>
      <w:r>
        <w:t>Share Price and Share Price volatility</w:t>
      </w:r>
    </w:p>
    <w:p w14:paraId="2D5087AE" w14:textId="77777777" w:rsidR="00F13FAD" w:rsidRDefault="00F13FAD" w:rsidP="00F13FAD">
      <w:pPr>
        <w:pStyle w:val="NormalWeb"/>
        <w:spacing w:before="300" w:beforeAutospacing="0" w:after="300" w:afterAutospacing="0"/>
        <w:jc w:val="both"/>
        <w:rPr>
          <w:rFonts w:ascii="Segoe UI" w:hAnsi="Segoe UI" w:cs="Segoe UI"/>
          <w:color w:val="374151"/>
        </w:rPr>
      </w:pPr>
      <w:r>
        <w:rPr>
          <w:rFonts w:ascii="Segoe UI" w:hAnsi="Segoe UI" w:cs="Segoe UI"/>
          <w:color w:val="374151"/>
        </w:rPr>
        <w:br/>
        <w:t>Share price, also known as stock price or equity price, is the current market value of a single share of a publicly traded company's stock. It represents the price at which shares of the company are bought and sold in the open market. Share prices fluctuate continuously throughout trading hours as a result of supply and demand dynamics in the stock market.</w:t>
      </w:r>
    </w:p>
    <w:p w14:paraId="0571E1E0" w14:textId="77777777" w:rsidR="00F13FAD" w:rsidRDefault="00F13FAD" w:rsidP="00F13FAD">
      <w:pPr>
        <w:pStyle w:val="NormalWeb"/>
        <w:spacing w:before="300" w:beforeAutospacing="0" w:after="300" w:afterAutospacing="0"/>
        <w:jc w:val="both"/>
        <w:rPr>
          <w:rFonts w:ascii="Segoe UI" w:hAnsi="Segoe UI" w:cs="Segoe UI"/>
          <w:color w:val="374151"/>
        </w:rPr>
      </w:pPr>
      <w:r>
        <w:rPr>
          <w:rFonts w:ascii="Segoe UI" w:hAnsi="Segoe UI" w:cs="Segoe UI"/>
          <w:color w:val="374151"/>
        </w:rPr>
        <w:t>Several factors influence share prices:</w:t>
      </w:r>
    </w:p>
    <w:p w14:paraId="7CF302AC" w14:textId="77777777" w:rsidR="00F13FAD" w:rsidRDefault="00F13FAD" w:rsidP="00F13FAD">
      <w:pPr>
        <w:pStyle w:val="NormalWeb"/>
        <w:numPr>
          <w:ilvl w:val="0"/>
          <w:numId w:val="37"/>
        </w:numPr>
        <w:spacing w:before="0" w:beforeAutospacing="0" w:after="0" w:afterAutospacing="0"/>
        <w:ind w:left="0"/>
        <w:jc w:val="both"/>
        <w:rPr>
          <w:rFonts w:ascii="Segoe UI" w:hAnsi="Segoe UI" w:cs="Segoe UI"/>
          <w:color w:val="374151"/>
        </w:rPr>
      </w:pPr>
      <w:r w:rsidRPr="004E1461">
        <w:rPr>
          <w:rStyle w:val="Strong"/>
          <w:rFonts w:ascii="Segoe UI" w:hAnsi="Segoe UI" w:cs="Segoe UI"/>
          <w:color w:val="374151"/>
        </w:rPr>
        <w:t>Market Sentiment:</w:t>
      </w:r>
      <w:r>
        <w:rPr>
          <w:rFonts w:ascii="Segoe UI" w:hAnsi="Segoe UI" w:cs="Segoe UI"/>
          <w:color w:val="374151"/>
        </w:rPr>
        <w:t xml:space="preserve"> Investor sentiment and perception of the company's future prospects can drive share prices up or down. Positive news, such as strong earnings reports or new product launches, can boost sentiment and lead to higher share prices, while negative news or economic downturns can have the opposite effect.</w:t>
      </w:r>
    </w:p>
    <w:p w14:paraId="11BA7873" w14:textId="77777777" w:rsidR="00F13FAD" w:rsidRDefault="00F13FAD" w:rsidP="00F13FAD">
      <w:pPr>
        <w:pStyle w:val="NormalWeb"/>
        <w:numPr>
          <w:ilvl w:val="0"/>
          <w:numId w:val="37"/>
        </w:numPr>
        <w:spacing w:before="0" w:beforeAutospacing="0" w:after="0" w:afterAutospacing="0"/>
        <w:ind w:left="0"/>
        <w:jc w:val="both"/>
        <w:rPr>
          <w:rFonts w:ascii="Segoe UI" w:hAnsi="Segoe UI" w:cs="Segoe UI"/>
          <w:color w:val="374151"/>
        </w:rPr>
      </w:pPr>
      <w:r w:rsidRPr="004E1461">
        <w:rPr>
          <w:rStyle w:val="Strong"/>
          <w:rFonts w:ascii="Segoe UI" w:hAnsi="Segoe UI" w:cs="Segoe UI"/>
          <w:color w:val="374151"/>
        </w:rPr>
        <w:t>Earnings and Financial Performance:</w:t>
      </w:r>
      <w:r>
        <w:rPr>
          <w:rFonts w:ascii="Segoe UI" w:hAnsi="Segoe UI" w:cs="Segoe UI"/>
          <w:color w:val="374151"/>
        </w:rPr>
        <w:t xml:space="preserve"> A company's financial performance, including revenue, earnings, and profitability, significantly impacts its share price. Investors often look at key financial metrics when determining the fair value of a stock.</w:t>
      </w:r>
    </w:p>
    <w:p w14:paraId="39AB7FE9" w14:textId="77777777" w:rsidR="00F13FAD" w:rsidRDefault="00F13FAD" w:rsidP="00F13FAD">
      <w:pPr>
        <w:pStyle w:val="NormalWeb"/>
        <w:numPr>
          <w:ilvl w:val="0"/>
          <w:numId w:val="37"/>
        </w:numPr>
        <w:spacing w:before="0" w:beforeAutospacing="0" w:after="0" w:afterAutospacing="0"/>
        <w:ind w:left="0"/>
        <w:jc w:val="both"/>
        <w:rPr>
          <w:rFonts w:ascii="Segoe UI" w:hAnsi="Segoe UI" w:cs="Segoe UI"/>
          <w:color w:val="374151"/>
        </w:rPr>
      </w:pPr>
      <w:r w:rsidRPr="004E1461">
        <w:rPr>
          <w:rStyle w:val="Strong"/>
          <w:rFonts w:ascii="Segoe UI" w:hAnsi="Segoe UI" w:cs="Segoe UI"/>
          <w:color w:val="374151"/>
        </w:rPr>
        <w:t>Supply and Demand:</w:t>
      </w:r>
      <w:r>
        <w:rPr>
          <w:rFonts w:ascii="Segoe UI" w:hAnsi="Segoe UI" w:cs="Segoe UI"/>
          <w:color w:val="374151"/>
        </w:rPr>
        <w:t xml:space="preserve"> The basic law of supply and demand plays a crucial role in determining share prices. When more investors want to buy a stock (increased demand) than sell it (limited supply), share prices tend to rise, and vice versa.</w:t>
      </w:r>
    </w:p>
    <w:p w14:paraId="0356E6F7" w14:textId="77777777" w:rsidR="00F13FAD" w:rsidRDefault="00F13FAD" w:rsidP="00F13FAD">
      <w:pPr>
        <w:pStyle w:val="NormalWeb"/>
        <w:numPr>
          <w:ilvl w:val="0"/>
          <w:numId w:val="37"/>
        </w:numPr>
        <w:spacing w:before="0" w:beforeAutospacing="0" w:after="0" w:afterAutospacing="0"/>
        <w:ind w:left="0"/>
        <w:jc w:val="both"/>
        <w:rPr>
          <w:rFonts w:ascii="Segoe UI" w:hAnsi="Segoe UI" w:cs="Segoe UI"/>
          <w:color w:val="374151"/>
        </w:rPr>
      </w:pPr>
      <w:r w:rsidRPr="004E1461">
        <w:rPr>
          <w:rStyle w:val="Strong"/>
          <w:rFonts w:ascii="Segoe UI" w:hAnsi="Segoe UI" w:cs="Segoe UI"/>
          <w:color w:val="374151"/>
        </w:rPr>
        <w:t>Market Conditions:</w:t>
      </w:r>
      <w:r>
        <w:rPr>
          <w:rFonts w:ascii="Segoe UI" w:hAnsi="Segoe UI" w:cs="Segoe UI"/>
          <w:color w:val="374151"/>
        </w:rPr>
        <w:t xml:space="preserve"> Broader market conditions, including overall stock market trends, interest rates, and economic indicators, can influence share prices. In bear markets, share prices often decline, while bull markets typically see rising share prices.</w:t>
      </w:r>
    </w:p>
    <w:p w14:paraId="37E732A0" w14:textId="77777777" w:rsidR="00F13FAD" w:rsidRDefault="00F13FAD" w:rsidP="00F13FAD">
      <w:pPr>
        <w:pStyle w:val="NormalWeb"/>
        <w:numPr>
          <w:ilvl w:val="0"/>
          <w:numId w:val="37"/>
        </w:numPr>
        <w:spacing w:before="0" w:beforeAutospacing="0" w:after="0" w:afterAutospacing="0"/>
        <w:ind w:left="0"/>
        <w:jc w:val="both"/>
        <w:rPr>
          <w:rFonts w:ascii="Segoe UI" w:hAnsi="Segoe UI" w:cs="Segoe UI"/>
          <w:color w:val="374151"/>
        </w:rPr>
      </w:pPr>
      <w:r w:rsidRPr="004E1461">
        <w:rPr>
          <w:rStyle w:val="Strong"/>
          <w:rFonts w:ascii="Segoe UI" w:hAnsi="Segoe UI" w:cs="Segoe UI"/>
          <w:color w:val="374151"/>
        </w:rPr>
        <w:t>Company News and Events:</w:t>
      </w:r>
      <w:r>
        <w:rPr>
          <w:rFonts w:ascii="Segoe UI" w:hAnsi="Segoe UI" w:cs="Segoe UI"/>
          <w:color w:val="374151"/>
        </w:rPr>
        <w:t xml:space="preserve"> Events such as mergers and acquisitions, product launches, management changes, and legal issues can have a significant impact on share prices. Investors react to both positive and negative developments related to the company.</w:t>
      </w:r>
    </w:p>
    <w:p w14:paraId="3B8DF400" w14:textId="77777777" w:rsidR="00F13FAD" w:rsidRDefault="00F13FAD" w:rsidP="00F13FAD">
      <w:pPr>
        <w:pStyle w:val="NormalWeb"/>
        <w:spacing w:before="300" w:beforeAutospacing="0" w:after="300" w:afterAutospacing="0"/>
        <w:jc w:val="both"/>
        <w:rPr>
          <w:rFonts w:ascii="Segoe UI" w:hAnsi="Segoe UI" w:cs="Segoe UI"/>
          <w:color w:val="374151"/>
        </w:rPr>
      </w:pPr>
      <w:r w:rsidRPr="004E1461">
        <w:rPr>
          <w:rStyle w:val="Strong"/>
          <w:rFonts w:ascii="Segoe UI" w:hAnsi="Segoe UI" w:cs="Segoe UI"/>
          <w:color w:val="374151"/>
        </w:rPr>
        <w:t>Share Price Volatility:</w:t>
      </w:r>
    </w:p>
    <w:p w14:paraId="4FD66F9A" w14:textId="77777777" w:rsidR="00F13FAD" w:rsidRDefault="00F13FAD" w:rsidP="00F13FAD">
      <w:pPr>
        <w:pStyle w:val="NormalWeb"/>
        <w:spacing w:before="300" w:beforeAutospacing="0" w:after="300" w:afterAutospacing="0"/>
        <w:jc w:val="both"/>
        <w:rPr>
          <w:rFonts w:ascii="Segoe UI" w:hAnsi="Segoe UI" w:cs="Segoe UI"/>
          <w:color w:val="374151"/>
        </w:rPr>
      </w:pPr>
      <w:r>
        <w:rPr>
          <w:rFonts w:ascii="Segoe UI" w:hAnsi="Segoe UI" w:cs="Segoe UI"/>
          <w:color w:val="374151"/>
        </w:rPr>
        <w:t>Share price volatility refers to the degree of variation or fluctuation in a stock's price over time. Highly volatile stocks experience larger price swings, while low-volatility stocks have relatively stable price movements. Here are some key points about share price volatility:</w:t>
      </w:r>
    </w:p>
    <w:p w14:paraId="70844B59" w14:textId="77777777" w:rsidR="00F13FAD" w:rsidRDefault="00F13FAD" w:rsidP="00F13FAD">
      <w:pPr>
        <w:pStyle w:val="NormalWeb"/>
        <w:numPr>
          <w:ilvl w:val="0"/>
          <w:numId w:val="38"/>
        </w:numPr>
        <w:spacing w:before="0" w:beforeAutospacing="0" w:after="0" w:afterAutospacing="0"/>
        <w:ind w:left="0"/>
        <w:jc w:val="both"/>
        <w:rPr>
          <w:rFonts w:ascii="Segoe UI" w:hAnsi="Segoe UI" w:cs="Segoe UI"/>
          <w:color w:val="374151"/>
        </w:rPr>
      </w:pPr>
      <w:r w:rsidRPr="004E1461">
        <w:rPr>
          <w:rStyle w:val="Strong"/>
          <w:rFonts w:ascii="Segoe UI" w:hAnsi="Segoe UI" w:cs="Segoe UI"/>
          <w:color w:val="374151"/>
        </w:rPr>
        <w:t>Causes of Volatility:</w:t>
      </w:r>
      <w:r>
        <w:rPr>
          <w:rFonts w:ascii="Segoe UI" w:hAnsi="Segoe UI" w:cs="Segoe UI"/>
          <w:color w:val="374151"/>
        </w:rPr>
        <w:t xml:space="preserve"> Volatility can be caused by a variety of factors, including company-specific news, market sentiment, economic data releases, geopolitical events, and changes in interest rates. Smaller-cap stocks and those in emerging industries often exhibit higher volatility.</w:t>
      </w:r>
    </w:p>
    <w:p w14:paraId="1E4B7E75" w14:textId="77777777" w:rsidR="00F13FAD" w:rsidRDefault="00F13FAD" w:rsidP="00F13FAD">
      <w:pPr>
        <w:pStyle w:val="NormalWeb"/>
        <w:numPr>
          <w:ilvl w:val="0"/>
          <w:numId w:val="38"/>
        </w:numPr>
        <w:spacing w:before="0" w:beforeAutospacing="0" w:after="0" w:afterAutospacing="0"/>
        <w:ind w:left="0"/>
        <w:jc w:val="both"/>
        <w:rPr>
          <w:rFonts w:ascii="Segoe UI" w:hAnsi="Segoe UI" w:cs="Segoe UI"/>
          <w:color w:val="374151"/>
        </w:rPr>
      </w:pPr>
      <w:r w:rsidRPr="004E1461">
        <w:rPr>
          <w:rStyle w:val="Strong"/>
          <w:rFonts w:ascii="Segoe UI" w:hAnsi="Segoe UI" w:cs="Segoe UI"/>
          <w:color w:val="374151"/>
        </w:rPr>
        <w:t>Measurement:</w:t>
      </w:r>
      <w:r>
        <w:rPr>
          <w:rFonts w:ascii="Segoe UI" w:hAnsi="Segoe UI" w:cs="Segoe UI"/>
          <w:color w:val="374151"/>
        </w:rPr>
        <w:t xml:space="preserve"> Volatility is often quantified using metrics like standard deviation or beta. Standard deviation measures the dispersion of historical price returns, while beta indicates how a stock's price tends to move in relation to the overall market (market beta of 1 means the stock moves in line with the market).</w:t>
      </w:r>
    </w:p>
    <w:p w14:paraId="513F2259" w14:textId="77777777" w:rsidR="00F13FAD" w:rsidRDefault="00F13FAD" w:rsidP="00F13FAD">
      <w:pPr>
        <w:pStyle w:val="NormalWeb"/>
        <w:numPr>
          <w:ilvl w:val="0"/>
          <w:numId w:val="38"/>
        </w:numPr>
        <w:spacing w:before="0" w:beforeAutospacing="0" w:after="0" w:afterAutospacing="0"/>
        <w:ind w:left="0"/>
        <w:jc w:val="both"/>
        <w:rPr>
          <w:rFonts w:ascii="Segoe UI" w:hAnsi="Segoe UI" w:cs="Segoe UI"/>
          <w:color w:val="374151"/>
        </w:rPr>
      </w:pPr>
      <w:r w:rsidRPr="004E1461">
        <w:rPr>
          <w:rStyle w:val="Strong"/>
          <w:rFonts w:ascii="Segoe UI" w:hAnsi="Segoe UI" w:cs="Segoe UI"/>
          <w:color w:val="374151"/>
        </w:rPr>
        <w:t>Risk and Reward:</w:t>
      </w:r>
      <w:r>
        <w:rPr>
          <w:rFonts w:ascii="Segoe UI" w:hAnsi="Segoe UI" w:cs="Segoe UI"/>
          <w:color w:val="374151"/>
        </w:rPr>
        <w:t xml:space="preserve"> While high volatility can present opportunities for traders to profit from price swings, it also carries greater risk. Long-term investors may be more concerned with preserving capital and avoiding extreme price fluctuations.</w:t>
      </w:r>
    </w:p>
    <w:p w14:paraId="7E1593FC" w14:textId="77777777" w:rsidR="00F13FAD" w:rsidRDefault="00F13FAD" w:rsidP="00F13FAD">
      <w:pPr>
        <w:pStyle w:val="NormalWeb"/>
        <w:numPr>
          <w:ilvl w:val="0"/>
          <w:numId w:val="38"/>
        </w:numPr>
        <w:spacing w:before="0" w:beforeAutospacing="0" w:after="0" w:afterAutospacing="0"/>
        <w:ind w:left="0"/>
        <w:jc w:val="both"/>
        <w:rPr>
          <w:rFonts w:ascii="Segoe UI" w:hAnsi="Segoe UI" w:cs="Segoe UI"/>
          <w:color w:val="374151"/>
        </w:rPr>
      </w:pPr>
      <w:r w:rsidRPr="004E1461">
        <w:rPr>
          <w:rStyle w:val="Strong"/>
          <w:rFonts w:ascii="Segoe UI" w:hAnsi="Segoe UI" w:cs="Segoe UI"/>
          <w:color w:val="374151"/>
        </w:rPr>
        <w:t>Investor Tolerance:</w:t>
      </w:r>
      <w:r>
        <w:rPr>
          <w:rFonts w:ascii="Segoe UI" w:hAnsi="Segoe UI" w:cs="Segoe UI"/>
          <w:color w:val="374151"/>
        </w:rPr>
        <w:t xml:space="preserve"> An individual investor's tolerance for volatility varies based on their risk appetite, investment horizon, and financial goals. Some investors are comfortable with higher volatility if they believe it offers the potential for higher returns.</w:t>
      </w:r>
    </w:p>
    <w:p w14:paraId="1CDB1AB8" w14:textId="77777777" w:rsidR="00F13FAD" w:rsidRDefault="00F13FAD" w:rsidP="00F13FAD">
      <w:pPr>
        <w:pStyle w:val="NormalWeb"/>
        <w:numPr>
          <w:ilvl w:val="0"/>
          <w:numId w:val="38"/>
        </w:numPr>
        <w:spacing w:before="0" w:beforeAutospacing="0" w:after="0" w:afterAutospacing="0"/>
        <w:ind w:left="0"/>
        <w:jc w:val="both"/>
        <w:rPr>
          <w:rFonts w:ascii="Segoe UI" w:hAnsi="Segoe UI" w:cs="Segoe UI"/>
          <w:color w:val="374151"/>
        </w:rPr>
      </w:pPr>
      <w:r w:rsidRPr="004E1461">
        <w:rPr>
          <w:rStyle w:val="Strong"/>
          <w:rFonts w:ascii="Segoe UI" w:hAnsi="Segoe UI" w:cs="Segoe UI"/>
          <w:color w:val="374151"/>
        </w:rPr>
        <w:t>Volatility Strategies:</w:t>
      </w:r>
      <w:r>
        <w:rPr>
          <w:rFonts w:ascii="Segoe UI" w:hAnsi="Segoe UI" w:cs="Segoe UI"/>
          <w:color w:val="374151"/>
        </w:rPr>
        <w:t xml:space="preserve"> Investors and traders use various strategies to manage or capitalize on volatility, such as stop-loss orders, options trading, and diversification across different asset classes.</w:t>
      </w:r>
    </w:p>
    <w:p w14:paraId="1C9CB52D" w14:textId="77777777" w:rsidR="00F13FAD" w:rsidRDefault="00F13FAD" w:rsidP="00F13FAD">
      <w:pPr>
        <w:pStyle w:val="NormalWeb"/>
        <w:spacing w:before="300" w:beforeAutospacing="0" w:after="0" w:afterAutospacing="0"/>
        <w:jc w:val="both"/>
        <w:rPr>
          <w:rFonts w:ascii="Segoe UI" w:hAnsi="Segoe UI" w:cs="Segoe UI"/>
          <w:color w:val="374151"/>
        </w:rPr>
      </w:pPr>
      <w:r>
        <w:rPr>
          <w:rFonts w:ascii="Segoe UI" w:hAnsi="Segoe UI" w:cs="Segoe UI"/>
          <w:color w:val="374151"/>
        </w:rPr>
        <w:t>It's important for investors to assess both the share price and share price volatility when making investment decisions. A stock's volatility can influence the level of risk associated with holding it in a portfolio, while the share price reflects the market's current valuation of the company's equity</w:t>
      </w:r>
    </w:p>
    <w:p w14:paraId="336AD8F9" w14:textId="3488857D"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7475E20D" w14:textId="696DFE29"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3BBC6B66" w14:textId="4670EF3D"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7596C010" w14:textId="33531BE7"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16622A96" w14:textId="4F0882C6"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148DCE4F" w14:textId="1F306127"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1E0BCE57" w14:textId="45F7A9C9"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4939571D" w14:textId="37CFDE3C"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3C8D7073" w14:textId="191FBEA7"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71E1BC18" w14:textId="7BF9E418"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3CB064D4" w14:textId="5618F973"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172681DA" w14:textId="3B505034"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1321A3B9" w14:textId="0C92B8F7"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73CE9D84" w14:textId="587DBD39"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6AD11FAD" w14:textId="73B9263B"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478B134E" w14:textId="77777777" w:rsidR="00F13FAD" w:rsidRDefault="00F13FAD" w:rsidP="00F13FAD">
      <w:pPr>
        <w:jc w:val="center"/>
        <w:rPr>
          <w:b/>
          <w:sz w:val="32"/>
          <w:szCs w:val="32"/>
          <w:u w:val="single"/>
        </w:rPr>
      </w:pPr>
      <w:r>
        <w:rPr>
          <w:b/>
          <w:sz w:val="32"/>
          <w:szCs w:val="32"/>
          <w:u w:val="single"/>
        </w:rPr>
        <w:t xml:space="preserve">Chapter 4: </w:t>
      </w:r>
      <w:r w:rsidRPr="00397F2D">
        <w:rPr>
          <w:b/>
          <w:sz w:val="32"/>
          <w:szCs w:val="32"/>
          <w:u w:val="single"/>
        </w:rPr>
        <w:t>Dealing in Stock Exchanges</w:t>
      </w:r>
    </w:p>
    <w:p w14:paraId="3D706796" w14:textId="77777777" w:rsidR="00F13FAD" w:rsidRDefault="00F13FAD" w:rsidP="00F13FAD">
      <w:pPr>
        <w:jc w:val="both"/>
      </w:pPr>
      <w:r>
        <w:t>Role of Broker</w:t>
      </w:r>
    </w:p>
    <w:p w14:paraId="1C42AD93" w14:textId="77777777" w:rsidR="00F13FAD" w:rsidRDefault="00F13FAD" w:rsidP="00F13FAD">
      <w:pPr>
        <w:pStyle w:val="NormalWeb"/>
        <w:spacing w:before="0" w:beforeAutospacing="0" w:after="300" w:afterAutospacing="0"/>
        <w:jc w:val="both"/>
        <w:rPr>
          <w:rFonts w:ascii="Segoe UI" w:hAnsi="Segoe UI" w:cs="Segoe UI"/>
          <w:color w:val="374151"/>
        </w:rPr>
      </w:pPr>
      <w:r>
        <w:rPr>
          <w:rFonts w:ascii="Segoe UI" w:hAnsi="Segoe UI" w:cs="Segoe UI"/>
          <w:color w:val="374151"/>
        </w:rPr>
        <w:t>Brokers play a crucial role in stock exchanges by acting as intermediaries between buyers and sellers of financial securities, such as stocks, bonds, commodities, and derivatives. Their primary responsibility is to facilitate the smooth and efficient functioning of the financial markets. Here are the key roles and functions of brokers in stock exchanges:</w:t>
      </w:r>
    </w:p>
    <w:p w14:paraId="4509B033" w14:textId="77777777" w:rsidR="00F13FAD" w:rsidRDefault="00F13FAD" w:rsidP="00F13FAD">
      <w:pPr>
        <w:pStyle w:val="NormalWeb"/>
        <w:numPr>
          <w:ilvl w:val="0"/>
          <w:numId w:val="39"/>
        </w:numPr>
        <w:spacing w:before="0" w:beforeAutospacing="0" w:after="0" w:afterAutospacing="0"/>
        <w:ind w:left="0"/>
        <w:jc w:val="both"/>
        <w:rPr>
          <w:rFonts w:ascii="Segoe UI" w:hAnsi="Segoe UI" w:cs="Segoe UI"/>
          <w:color w:val="374151"/>
        </w:rPr>
      </w:pPr>
      <w:r>
        <w:rPr>
          <w:rFonts w:ascii="Segoe UI" w:hAnsi="Segoe UI" w:cs="Segoe UI"/>
          <w:color w:val="374151"/>
        </w:rPr>
        <w:t>Execution of Trades: Brokers execute buy and sell orders on behalf of their clients. They use their expertise and access to trading platforms to ensure that orders are executed at the best available prices and within a reasonable timeframe.</w:t>
      </w:r>
    </w:p>
    <w:p w14:paraId="1FB97F87" w14:textId="77777777" w:rsidR="00F13FAD" w:rsidRDefault="00F13FAD" w:rsidP="00F13FAD">
      <w:pPr>
        <w:pStyle w:val="NormalWeb"/>
        <w:numPr>
          <w:ilvl w:val="0"/>
          <w:numId w:val="39"/>
        </w:numPr>
        <w:spacing w:before="0" w:beforeAutospacing="0" w:after="0" w:afterAutospacing="0"/>
        <w:ind w:left="0"/>
        <w:jc w:val="both"/>
        <w:rPr>
          <w:rFonts w:ascii="Segoe UI" w:hAnsi="Segoe UI" w:cs="Segoe UI"/>
          <w:color w:val="374151"/>
        </w:rPr>
      </w:pPr>
      <w:r>
        <w:rPr>
          <w:rFonts w:ascii="Segoe UI" w:hAnsi="Segoe UI" w:cs="Segoe UI"/>
          <w:color w:val="374151"/>
        </w:rPr>
        <w:t>Market Research and Analysis: Brokers provide clients with valuable market research and analysis to help them make informed investment decisions. This may include research reports, stock recommendations, and market insights.</w:t>
      </w:r>
    </w:p>
    <w:p w14:paraId="2A5E2035" w14:textId="77777777" w:rsidR="00F13FAD" w:rsidRDefault="00F13FAD" w:rsidP="00F13FAD">
      <w:pPr>
        <w:pStyle w:val="NormalWeb"/>
        <w:numPr>
          <w:ilvl w:val="0"/>
          <w:numId w:val="39"/>
        </w:numPr>
        <w:spacing w:before="0" w:beforeAutospacing="0" w:after="0" w:afterAutospacing="0"/>
        <w:ind w:left="0"/>
        <w:jc w:val="both"/>
        <w:rPr>
          <w:rFonts w:ascii="Segoe UI" w:hAnsi="Segoe UI" w:cs="Segoe UI"/>
          <w:color w:val="374151"/>
        </w:rPr>
      </w:pPr>
      <w:r>
        <w:rPr>
          <w:rFonts w:ascii="Segoe UI" w:hAnsi="Segoe UI" w:cs="Segoe UI"/>
          <w:color w:val="374151"/>
        </w:rPr>
        <w:t>Order Routing: Brokers have access to various trading venues and exchanges. They route orders to the appropriate exchange or market where the best execution can be achieved, taking into account factors like price, liquidity, and order size.</w:t>
      </w:r>
    </w:p>
    <w:p w14:paraId="780653A3" w14:textId="77777777" w:rsidR="00F13FAD" w:rsidRDefault="00F13FAD" w:rsidP="00F13FAD">
      <w:pPr>
        <w:pStyle w:val="NormalWeb"/>
        <w:numPr>
          <w:ilvl w:val="0"/>
          <w:numId w:val="39"/>
        </w:numPr>
        <w:spacing w:before="0" w:beforeAutospacing="0" w:after="0" w:afterAutospacing="0"/>
        <w:ind w:left="0"/>
        <w:jc w:val="both"/>
        <w:rPr>
          <w:rFonts w:ascii="Segoe UI" w:hAnsi="Segoe UI" w:cs="Segoe UI"/>
          <w:color w:val="374151"/>
        </w:rPr>
      </w:pPr>
      <w:r>
        <w:rPr>
          <w:rFonts w:ascii="Segoe UI" w:hAnsi="Segoe UI" w:cs="Segoe UI"/>
          <w:color w:val="374151"/>
        </w:rPr>
        <w:t>Access to Financial Markets: Brokers serve as a gateway for individual and institutional investors to access financial markets. They provide clients with the necessary tools and technology to participate in trading activities.</w:t>
      </w:r>
    </w:p>
    <w:p w14:paraId="25C391DF" w14:textId="77777777" w:rsidR="00F13FAD" w:rsidRDefault="00F13FAD" w:rsidP="00F13FAD">
      <w:pPr>
        <w:pStyle w:val="NormalWeb"/>
        <w:numPr>
          <w:ilvl w:val="0"/>
          <w:numId w:val="39"/>
        </w:numPr>
        <w:spacing w:before="0" w:beforeAutospacing="0" w:after="0" w:afterAutospacing="0"/>
        <w:ind w:left="0"/>
        <w:jc w:val="both"/>
        <w:rPr>
          <w:rFonts w:ascii="Segoe UI" w:hAnsi="Segoe UI" w:cs="Segoe UI"/>
          <w:color w:val="374151"/>
        </w:rPr>
      </w:pPr>
      <w:r>
        <w:rPr>
          <w:rFonts w:ascii="Segoe UI" w:hAnsi="Segoe UI" w:cs="Segoe UI"/>
          <w:color w:val="374151"/>
        </w:rPr>
        <w:t>Risk Management: Brokers help clients manage risk by offering services like stop-loss orders, limit orders, and hedging strategies. These tools help investors protect their investments from adverse price movements.</w:t>
      </w:r>
    </w:p>
    <w:p w14:paraId="5ABFE303" w14:textId="77777777" w:rsidR="00F13FAD" w:rsidRDefault="00F13FAD" w:rsidP="00F13FAD">
      <w:pPr>
        <w:pStyle w:val="NormalWeb"/>
        <w:numPr>
          <w:ilvl w:val="0"/>
          <w:numId w:val="39"/>
        </w:numPr>
        <w:spacing w:before="0" w:beforeAutospacing="0" w:after="0" w:afterAutospacing="0"/>
        <w:ind w:left="0"/>
        <w:jc w:val="both"/>
        <w:rPr>
          <w:rFonts w:ascii="Segoe UI" w:hAnsi="Segoe UI" w:cs="Segoe UI"/>
          <w:color w:val="374151"/>
        </w:rPr>
      </w:pPr>
      <w:r>
        <w:rPr>
          <w:rFonts w:ascii="Segoe UI" w:hAnsi="Segoe UI" w:cs="Segoe UI"/>
          <w:color w:val="374151"/>
        </w:rPr>
        <w:t>Margin Trading: Brokers offer margin trading facilities, allowing clients to leverage their investments. This enables traders to control a larger position with a smaller amount of capital, but it also increases the risk of losses.</w:t>
      </w:r>
    </w:p>
    <w:p w14:paraId="0E74E37A" w14:textId="77777777" w:rsidR="00F13FAD" w:rsidRDefault="00F13FAD" w:rsidP="00F13FAD">
      <w:pPr>
        <w:pStyle w:val="NormalWeb"/>
        <w:numPr>
          <w:ilvl w:val="0"/>
          <w:numId w:val="39"/>
        </w:numPr>
        <w:spacing w:before="0" w:beforeAutospacing="0" w:after="0" w:afterAutospacing="0"/>
        <w:ind w:left="0"/>
        <w:jc w:val="both"/>
        <w:rPr>
          <w:rFonts w:ascii="Segoe UI" w:hAnsi="Segoe UI" w:cs="Segoe UI"/>
          <w:color w:val="374151"/>
        </w:rPr>
      </w:pPr>
      <w:r>
        <w:rPr>
          <w:rFonts w:ascii="Segoe UI" w:hAnsi="Segoe UI" w:cs="Segoe UI"/>
          <w:color w:val="374151"/>
        </w:rPr>
        <w:t>Investment Advice: Some brokers offer investment advisory services, providing personalized recommendations and strategies tailored to a client's financial goals and risk tolerance.</w:t>
      </w:r>
    </w:p>
    <w:p w14:paraId="35477CB0" w14:textId="77777777" w:rsidR="00F13FAD" w:rsidRDefault="00F13FAD" w:rsidP="00F13FAD">
      <w:pPr>
        <w:pStyle w:val="NormalWeb"/>
        <w:numPr>
          <w:ilvl w:val="0"/>
          <w:numId w:val="39"/>
        </w:numPr>
        <w:spacing w:before="0" w:beforeAutospacing="0" w:after="0" w:afterAutospacing="0"/>
        <w:ind w:left="0"/>
        <w:jc w:val="both"/>
        <w:rPr>
          <w:rFonts w:ascii="Segoe UI" w:hAnsi="Segoe UI" w:cs="Segoe UI"/>
          <w:color w:val="374151"/>
        </w:rPr>
      </w:pPr>
      <w:r>
        <w:rPr>
          <w:rFonts w:ascii="Segoe UI" w:hAnsi="Segoe UI" w:cs="Segoe UI"/>
          <w:color w:val="374151"/>
        </w:rPr>
        <w:t>Custody Services: Full-service brokers often provide custody services, safeguarding clients' securities and assets in custody accounts. This ensures the safekeeping of assets and simplifies administrative tasks.</w:t>
      </w:r>
    </w:p>
    <w:p w14:paraId="12873CB7" w14:textId="77777777" w:rsidR="00F13FAD" w:rsidRDefault="00F13FAD" w:rsidP="00F13FAD">
      <w:pPr>
        <w:pStyle w:val="NormalWeb"/>
        <w:numPr>
          <w:ilvl w:val="0"/>
          <w:numId w:val="39"/>
        </w:numPr>
        <w:spacing w:before="0" w:beforeAutospacing="0" w:after="0" w:afterAutospacing="0"/>
        <w:ind w:left="0"/>
        <w:jc w:val="both"/>
        <w:rPr>
          <w:rFonts w:ascii="Segoe UI" w:hAnsi="Segoe UI" w:cs="Segoe UI"/>
          <w:color w:val="374151"/>
        </w:rPr>
      </w:pPr>
      <w:r>
        <w:rPr>
          <w:rFonts w:ascii="Segoe UI" w:hAnsi="Segoe UI" w:cs="Segoe UI"/>
          <w:color w:val="374151"/>
        </w:rPr>
        <w:t>Compliance and Regulation: Brokers are subject to regulatory oversight to ensure fair and transparent trading practices. They must comply with rules and regulations set by financial authorities to protect investors and maintain market integrity.</w:t>
      </w:r>
    </w:p>
    <w:p w14:paraId="6930E49C" w14:textId="77777777" w:rsidR="00F13FAD" w:rsidRDefault="00F13FAD" w:rsidP="00F13FAD">
      <w:pPr>
        <w:pStyle w:val="NormalWeb"/>
        <w:numPr>
          <w:ilvl w:val="0"/>
          <w:numId w:val="39"/>
        </w:numPr>
        <w:spacing w:before="0" w:beforeAutospacing="0" w:after="0" w:afterAutospacing="0"/>
        <w:ind w:left="0"/>
        <w:jc w:val="both"/>
        <w:rPr>
          <w:rFonts w:ascii="Segoe UI" w:hAnsi="Segoe UI" w:cs="Segoe UI"/>
          <w:color w:val="374151"/>
        </w:rPr>
      </w:pPr>
      <w:r>
        <w:rPr>
          <w:rFonts w:ascii="Segoe UI" w:hAnsi="Segoe UI" w:cs="Segoe UI"/>
          <w:color w:val="374151"/>
        </w:rPr>
        <w:t>Trade Settlement: Brokers facilitate the settlement of trades by ensuring that securities and funds are transferred between buyers and sellers correctly and in a timely manner.</w:t>
      </w:r>
    </w:p>
    <w:p w14:paraId="13BF345A" w14:textId="77777777" w:rsidR="00F13FAD" w:rsidRDefault="00F13FAD" w:rsidP="00F13FAD">
      <w:pPr>
        <w:pStyle w:val="NormalWeb"/>
        <w:numPr>
          <w:ilvl w:val="0"/>
          <w:numId w:val="39"/>
        </w:numPr>
        <w:spacing w:before="0" w:beforeAutospacing="0" w:after="0" w:afterAutospacing="0"/>
        <w:ind w:left="0"/>
        <w:jc w:val="both"/>
        <w:rPr>
          <w:rFonts w:ascii="Segoe UI" w:hAnsi="Segoe UI" w:cs="Segoe UI"/>
          <w:color w:val="374151"/>
        </w:rPr>
      </w:pPr>
      <w:r>
        <w:rPr>
          <w:rFonts w:ascii="Segoe UI" w:hAnsi="Segoe UI" w:cs="Segoe UI"/>
          <w:color w:val="374151"/>
        </w:rPr>
        <w:t>Record Keeping: Brokers maintain detailed records of their clients' trading activities, account statements, and transaction history. This helps clients track their investments and tax obligations.</w:t>
      </w:r>
    </w:p>
    <w:p w14:paraId="294827F4" w14:textId="77777777" w:rsidR="00F13FAD" w:rsidRDefault="00F13FAD" w:rsidP="00F13FAD">
      <w:pPr>
        <w:pStyle w:val="NormalWeb"/>
        <w:numPr>
          <w:ilvl w:val="0"/>
          <w:numId w:val="39"/>
        </w:numPr>
        <w:spacing w:before="0" w:beforeAutospacing="0" w:after="0" w:afterAutospacing="0"/>
        <w:ind w:left="0"/>
        <w:jc w:val="both"/>
        <w:rPr>
          <w:rFonts w:ascii="Segoe UI" w:hAnsi="Segoe UI" w:cs="Segoe UI"/>
          <w:color w:val="374151"/>
        </w:rPr>
      </w:pPr>
      <w:r>
        <w:rPr>
          <w:rFonts w:ascii="Segoe UI" w:hAnsi="Segoe UI" w:cs="Segoe UI"/>
          <w:color w:val="374151"/>
        </w:rPr>
        <w:t>Customer Support: Brokers offer customer support services to assist clients with inquiries, technical issues, and account management.</w:t>
      </w:r>
    </w:p>
    <w:p w14:paraId="50318B83" w14:textId="77777777" w:rsidR="00F13FAD" w:rsidRDefault="00F13FAD" w:rsidP="00F13FAD">
      <w:pPr>
        <w:pStyle w:val="NormalWeb"/>
        <w:spacing w:before="300" w:beforeAutospacing="0" w:after="0" w:afterAutospacing="0"/>
        <w:jc w:val="both"/>
        <w:rPr>
          <w:rFonts w:ascii="Segoe UI" w:hAnsi="Segoe UI" w:cs="Segoe UI"/>
          <w:color w:val="374151"/>
        </w:rPr>
      </w:pPr>
      <w:r>
        <w:rPr>
          <w:rFonts w:ascii="Segoe UI" w:hAnsi="Segoe UI" w:cs="Segoe UI"/>
          <w:color w:val="374151"/>
        </w:rPr>
        <w:t>It's important to note that there are different types of brokers, including full-service brokers, discount brokers, online brokers, and specialized brokers (e.g., futures brokers, options brokers), each offering varying levels of services and catering to different types of investors. Investors should carefully choose a broker that aligns with their investment objectives and preferences</w:t>
      </w:r>
    </w:p>
    <w:p w14:paraId="17C2128F" w14:textId="77777777" w:rsidR="00F13FAD" w:rsidRDefault="00F13FAD" w:rsidP="00F13FAD">
      <w:pPr>
        <w:jc w:val="both"/>
      </w:pPr>
    </w:p>
    <w:p w14:paraId="0B4EB5FE" w14:textId="77777777" w:rsidR="00F13FAD" w:rsidRDefault="00F13FAD" w:rsidP="00F13FAD">
      <w:pPr>
        <w:jc w:val="both"/>
      </w:pPr>
      <w:r>
        <w:t>Stock Market Quotation</w:t>
      </w:r>
    </w:p>
    <w:p w14:paraId="65A89408" w14:textId="77777777" w:rsidR="00F13FAD" w:rsidRDefault="00F13FAD" w:rsidP="00F13FAD">
      <w:pPr>
        <w:pStyle w:val="NormalWeb"/>
        <w:spacing w:before="0" w:beforeAutospacing="0" w:after="300" w:afterAutospacing="0"/>
        <w:jc w:val="both"/>
        <w:rPr>
          <w:rFonts w:ascii="Segoe UI" w:hAnsi="Segoe UI" w:cs="Segoe UI"/>
          <w:color w:val="374151"/>
        </w:rPr>
      </w:pPr>
      <w:r>
        <w:rPr>
          <w:rFonts w:ascii="Segoe UI" w:hAnsi="Segoe UI" w:cs="Segoe UI"/>
          <w:color w:val="374151"/>
        </w:rPr>
        <w:t>A stock market quotation typically refers to the current price and other relevant information about a specific stock or security as it is listed on a stock exchange. These quotations provide investors with real-time or delayed information about the trading activity of a particular stock. Here are some key components of a stock market quotation:</w:t>
      </w:r>
    </w:p>
    <w:p w14:paraId="0F43F10B" w14:textId="77777777" w:rsidR="00F13FAD" w:rsidRDefault="00F13FAD" w:rsidP="00F13FAD">
      <w:pPr>
        <w:pStyle w:val="NormalWeb"/>
        <w:numPr>
          <w:ilvl w:val="0"/>
          <w:numId w:val="40"/>
        </w:numPr>
        <w:spacing w:before="0" w:beforeAutospacing="0" w:after="0" w:afterAutospacing="0"/>
        <w:ind w:left="0"/>
        <w:jc w:val="both"/>
        <w:rPr>
          <w:rFonts w:ascii="Segoe UI" w:hAnsi="Segoe UI" w:cs="Segoe UI"/>
          <w:color w:val="374151"/>
        </w:rPr>
      </w:pPr>
      <w:r w:rsidRPr="00397F2D">
        <w:rPr>
          <w:rStyle w:val="Strong"/>
          <w:rFonts w:ascii="Segoe UI" w:hAnsi="Segoe UI" w:cs="Segoe UI"/>
          <w:color w:val="374151"/>
        </w:rPr>
        <w:t>Stock Symbol</w:t>
      </w:r>
      <w:r>
        <w:rPr>
          <w:rFonts w:ascii="Segoe UI" w:hAnsi="Segoe UI" w:cs="Segoe UI"/>
          <w:color w:val="374151"/>
        </w:rPr>
        <w:t>: This is a unique alphabetic abbreviation or code assigned to a publicly traded company's stock. It is used to identify the stock on the exchange. For example, "AAPL" is the stock symbol for Apple Inc.</w:t>
      </w:r>
    </w:p>
    <w:p w14:paraId="3C82E952" w14:textId="77777777" w:rsidR="00F13FAD" w:rsidRDefault="00F13FAD" w:rsidP="00F13FAD">
      <w:pPr>
        <w:pStyle w:val="NormalWeb"/>
        <w:numPr>
          <w:ilvl w:val="0"/>
          <w:numId w:val="40"/>
        </w:numPr>
        <w:spacing w:before="0" w:beforeAutospacing="0" w:after="0" w:afterAutospacing="0"/>
        <w:ind w:left="0"/>
        <w:jc w:val="both"/>
        <w:rPr>
          <w:rFonts w:ascii="Segoe UI" w:hAnsi="Segoe UI" w:cs="Segoe UI"/>
          <w:color w:val="374151"/>
        </w:rPr>
      </w:pPr>
      <w:r w:rsidRPr="00397F2D">
        <w:rPr>
          <w:rStyle w:val="Strong"/>
          <w:rFonts w:ascii="Segoe UI" w:hAnsi="Segoe UI" w:cs="Segoe UI"/>
          <w:color w:val="374151"/>
        </w:rPr>
        <w:t>Stock Price</w:t>
      </w:r>
      <w:r>
        <w:rPr>
          <w:rFonts w:ascii="Segoe UI" w:hAnsi="Segoe UI" w:cs="Segoe UI"/>
          <w:color w:val="374151"/>
        </w:rPr>
        <w:t>: The stock price represents the last traded price of the stock. It indicates the value of one share of the company's stock. Stock prices can fluctuate throughout the trading day as buying and selling activity occurs.</w:t>
      </w:r>
    </w:p>
    <w:p w14:paraId="053DBCB8" w14:textId="77777777" w:rsidR="00F13FAD" w:rsidRDefault="00F13FAD" w:rsidP="00F13FAD">
      <w:pPr>
        <w:pStyle w:val="NormalWeb"/>
        <w:numPr>
          <w:ilvl w:val="0"/>
          <w:numId w:val="40"/>
        </w:numPr>
        <w:spacing w:before="0" w:beforeAutospacing="0" w:after="0" w:afterAutospacing="0"/>
        <w:ind w:left="0"/>
        <w:jc w:val="both"/>
        <w:rPr>
          <w:rFonts w:ascii="Segoe UI" w:hAnsi="Segoe UI" w:cs="Segoe UI"/>
          <w:color w:val="374151"/>
        </w:rPr>
      </w:pPr>
      <w:r w:rsidRPr="00397F2D">
        <w:rPr>
          <w:rStyle w:val="Strong"/>
          <w:rFonts w:ascii="Segoe UI" w:hAnsi="Segoe UI" w:cs="Segoe UI"/>
          <w:color w:val="374151"/>
        </w:rPr>
        <w:t>Bid Price</w:t>
      </w:r>
      <w:r>
        <w:rPr>
          <w:rFonts w:ascii="Segoe UI" w:hAnsi="Segoe UI" w:cs="Segoe UI"/>
          <w:color w:val="374151"/>
        </w:rPr>
        <w:t>: The bid price is the highest price that a buyer is willing to pay for a particular stock at that moment. It represents the demand for the stock at that price point.</w:t>
      </w:r>
    </w:p>
    <w:p w14:paraId="2C7D8EB9" w14:textId="77777777" w:rsidR="00F13FAD" w:rsidRDefault="00F13FAD" w:rsidP="00F13FAD">
      <w:pPr>
        <w:pStyle w:val="NormalWeb"/>
        <w:numPr>
          <w:ilvl w:val="0"/>
          <w:numId w:val="40"/>
        </w:numPr>
        <w:spacing w:before="0" w:beforeAutospacing="0" w:after="0" w:afterAutospacing="0"/>
        <w:ind w:left="0"/>
        <w:jc w:val="both"/>
        <w:rPr>
          <w:rFonts w:ascii="Segoe UI" w:hAnsi="Segoe UI" w:cs="Segoe UI"/>
          <w:color w:val="374151"/>
        </w:rPr>
      </w:pPr>
      <w:r w:rsidRPr="00397F2D">
        <w:rPr>
          <w:rStyle w:val="Strong"/>
          <w:rFonts w:ascii="Segoe UI" w:hAnsi="Segoe UI" w:cs="Segoe UI"/>
          <w:color w:val="374151"/>
        </w:rPr>
        <w:t>Ask Price</w:t>
      </w:r>
      <w:r>
        <w:rPr>
          <w:rFonts w:ascii="Segoe UI" w:hAnsi="Segoe UI" w:cs="Segoe UI"/>
          <w:color w:val="374151"/>
        </w:rPr>
        <w:t>: The ask price (or "offer price") is the lowest price at which a seller is willing to sell a stock. It represents the supply of the stock at that price point.</w:t>
      </w:r>
    </w:p>
    <w:p w14:paraId="67D92BAB" w14:textId="77777777" w:rsidR="00F13FAD" w:rsidRDefault="00F13FAD" w:rsidP="00F13FAD">
      <w:pPr>
        <w:pStyle w:val="NormalWeb"/>
        <w:numPr>
          <w:ilvl w:val="0"/>
          <w:numId w:val="40"/>
        </w:numPr>
        <w:spacing w:before="0" w:beforeAutospacing="0" w:after="0" w:afterAutospacing="0"/>
        <w:ind w:left="0"/>
        <w:jc w:val="both"/>
        <w:rPr>
          <w:rFonts w:ascii="Segoe UI" w:hAnsi="Segoe UI" w:cs="Segoe UI"/>
          <w:color w:val="374151"/>
        </w:rPr>
      </w:pPr>
      <w:r w:rsidRPr="00397F2D">
        <w:rPr>
          <w:rStyle w:val="Strong"/>
          <w:rFonts w:ascii="Segoe UI" w:hAnsi="Segoe UI" w:cs="Segoe UI"/>
          <w:color w:val="374151"/>
        </w:rPr>
        <w:t>Bid-Ask Spread</w:t>
      </w:r>
      <w:r>
        <w:rPr>
          <w:rFonts w:ascii="Segoe UI" w:hAnsi="Segoe UI" w:cs="Segoe UI"/>
          <w:color w:val="374151"/>
        </w:rPr>
        <w:t>: The bid-ask spread is the difference between the highest bid price and the lowest ask price. It reflects the cost of trading and is an important indicator of liquidity. A narrower spread often indicates more liquidity, while a wider spread can suggest lower liquidity.</w:t>
      </w:r>
    </w:p>
    <w:p w14:paraId="116D1E82" w14:textId="77777777" w:rsidR="00F13FAD" w:rsidRDefault="00F13FAD" w:rsidP="00F13FAD">
      <w:pPr>
        <w:pStyle w:val="NormalWeb"/>
        <w:numPr>
          <w:ilvl w:val="0"/>
          <w:numId w:val="40"/>
        </w:numPr>
        <w:spacing w:before="0" w:beforeAutospacing="0" w:after="0" w:afterAutospacing="0"/>
        <w:ind w:left="0"/>
        <w:jc w:val="both"/>
        <w:rPr>
          <w:rFonts w:ascii="Segoe UI" w:hAnsi="Segoe UI" w:cs="Segoe UI"/>
          <w:color w:val="374151"/>
        </w:rPr>
      </w:pPr>
      <w:r w:rsidRPr="00397F2D">
        <w:rPr>
          <w:rStyle w:val="Strong"/>
          <w:rFonts w:ascii="Segoe UI" w:hAnsi="Segoe UI" w:cs="Segoe UI"/>
          <w:color w:val="374151"/>
        </w:rPr>
        <w:t>Volume</w:t>
      </w:r>
      <w:r>
        <w:rPr>
          <w:rFonts w:ascii="Segoe UI" w:hAnsi="Segoe UI" w:cs="Segoe UI"/>
          <w:color w:val="374151"/>
        </w:rPr>
        <w:t>: Volume refers to the total number of shares of a particular stock that have been traded during a specific period, often the trading day. It provides insight into the level of activity and interest in the stock.</w:t>
      </w:r>
    </w:p>
    <w:p w14:paraId="22381D79" w14:textId="77777777" w:rsidR="00F13FAD" w:rsidRDefault="00F13FAD" w:rsidP="00F13FAD">
      <w:pPr>
        <w:pStyle w:val="NormalWeb"/>
        <w:numPr>
          <w:ilvl w:val="0"/>
          <w:numId w:val="40"/>
        </w:numPr>
        <w:spacing w:before="0" w:beforeAutospacing="0" w:after="0" w:afterAutospacing="0"/>
        <w:ind w:left="0"/>
        <w:jc w:val="both"/>
        <w:rPr>
          <w:rFonts w:ascii="Segoe UI" w:hAnsi="Segoe UI" w:cs="Segoe UI"/>
          <w:color w:val="374151"/>
        </w:rPr>
      </w:pPr>
      <w:r w:rsidRPr="00397F2D">
        <w:rPr>
          <w:rStyle w:val="Strong"/>
          <w:rFonts w:ascii="Segoe UI" w:hAnsi="Segoe UI" w:cs="Segoe UI"/>
          <w:color w:val="374151"/>
        </w:rPr>
        <w:t>Previous Close</w:t>
      </w:r>
      <w:r>
        <w:rPr>
          <w:rFonts w:ascii="Segoe UI" w:hAnsi="Segoe UI" w:cs="Segoe UI"/>
          <w:color w:val="374151"/>
        </w:rPr>
        <w:t>: This is the closing price of the stock from the previous trading day. It helps investors understand how the stock has performed since the last trading session.</w:t>
      </w:r>
    </w:p>
    <w:p w14:paraId="5DCF5FEE" w14:textId="77777777" w:rsidR="00F13FAD" w:rsidRDefault="00F13FAD" w:rsidP="00F13FAD">
      <w:pPr>
        <w:pStyle w:val="NormalWeb"/>
        <w:numPr>
          <w:ilvl w:val="0"/>
          <w:numId w:val="40"/>
        </w:numPr>
        <w:spacing w:before="0" w:beforeAutospacing="0" w:after="0" w:afterAutospacing="0"/>
        <w:ind w:left="0"/>
        <w:jc w:val="both"/>
        <w:rPr>
          <w:rFonts w:ascii="Segoe UI" w:hAnsi="Segoe UI" w:cs="Segoe UI"/>
          <w:color w:val="374151"/>
        </w:rPr>
      </w:pPr>
      <w:r w:rsidRPr="00397F2D">
        <w:rPr>
          <w:rStyle w:val="Strong"/>
          <w:rFonts w:ascii="Segoe UI" w:hAnsi="Segoe UI" w:cs="Segoe UI"/>
          <w:color w:val="374151"/>
        </w:rPr>
        <w:t>Day's Range</w:t>
      </w:r>
      <w:r>
        <w:rPr>
          <w:rFonts w:ascii="Segoe UI" w:hAnsi="Segoe UI" w:cs="Segoe UI"/>
          <w:color w:val="374151"/>
        </w:rPr>
        <w:t>: The day's range displays the lowest and highest prices at which the stock has traded during the current trading session.</w:t>
      </w:r>
    </w:p>
    <w:p w14:paraId="77A01768" w14:textId="77777777" w:rsidR="00F13FAD" w:rsidRDefault="00F13FAD" w:rsidP="00F13FAD">
      <w:pPr>
        <w:pStyle w:val="NormalWeb"/>
        <w:numPr>
          <w:ilvl w:val="0"/>
          <w:numId w:val="40"/>
        </w:numPr>
        <w:spacing w:before="0" w:beforeAutospacing="0" w:after="0" w:afterAutospacing="0"/>
        <w:ind w:left="0"/>
        <w:jc w:val="both"/>
        <w:rPr>
          <w:rFonts w:ascii="Segoe UI" w:hAnsi="Segoe UI" w:cs="Segoe UI"/>
          <w:color w:val="374151"/>
        </w:rPr>
      </w:pPr>
      <w:r w:rsidRPr="00397F2D">
        <w:rPr>
          <w:rStyle w:val="Strong"/>
          <w:rFonts w:ascii="Segoe UI" w:hAnsi="Segoe UI" w:cs="Segoe UI"/>
          <w:color w:val="374151"/>
        </w:rPr>
        <w:t>52-Week Range</w:t>
      </w:r>
      <w:r>
        <w:rPr>
          <w:rFonts w:ascii="Segoe UI" w:hAnsi="Segoe UI" w:cs="Segoe UI"/>
          <w:color w:val="374151"/>
        </w:rPr>
        <w:t>: This range indicates the lowest and highest prices at which the stock has traded over the past 52 weeks (one year).</w:t>
      </w:r>
    </w:p>
    <w:p w14:paraId="53AEEAD7" w14:textId="77777777" w:rsidR="00F13FAD" w:rsidRDefault="00F13FAD" w:rsidP="00F13FAD">
      <w:pPr>
        <w:pStyle w:val="NormalWeb"/>
        <w:numPr>
          <w:ilvl w:val="0"/>
          <w:numId w:val="40"/>
        </w:numPr>
        <w:spacing w:before="0" w:beforeAutospacing="0" w:after="0" w:afterAutospacing="0"/>
        <w:ind w:left="0"/>
        <w:jc w:val="both"/>
        <w:rPr>
          <w:rFonts w:ascii="Segoe UI" w:hAnsi="Segoe UI" w:cs="Segoe UI"/>
          <w:color w:val="374151"/>
        </w:rPr>
      </w:pPr>
      <w:r w:rsidRPr="00397F2D">
        <w:rPr>
          <w:rStyle w:val="Strong"/>
          <w:rFonts w:ascii="Segoe UI" w:hAnsi="Segoe UI" w:cs="Segoe UI"/>
          <w:color w:val="374151"/>
        </w:rPr>
        <w:t>Market Capitalization</w:t>
      </w:r>
      <w:r>
        <w:rPr>
          <w:rFonts w:ascii="Segoe UI" w:hAnsi="Segoe UI" w:cs="Segoe UI"/>
          <w:color w:val="374151"/>
        </w:rPr>
        <w:t>: Market capitalization (or "market cap") is the total value of a company's outstanding shares of stock. It is calculated by multiplying the stock's current price by the total number of outstanding shares.</w:t>
      </w:r>
    </w:p>
    <w:p w14:paraId="78740FE5" w14:textId="77777777" w:rsidR="00F13FAD" w:rsidRDefault="00F13FAD" w:rsidP="00F13FAD">
      <w:pPr>
        <w:pStyle w:val="NormalWeb"/>
        <w:numPr>
          <w:ilvl w:val="0"/>
          <w:numId w:val="40"/>
        </w:numPr>
        <w:spacing w:before="0" w:beforeAutospacing="0" w:after="0" w:afterAutospacing="0"/>
        <w:ind w:left="0"/>
        <w:jc w:val="both"/>
        <w:rPr>
          <w:rFonts w:ascii="Segoe UI" w:hAnsi="Segoe UI" w:cs="Segoe UI"/>
          <w:color w:val="374151"/>
        </w:rPr>
      </w:pPr>
      <w:r w:rsidRPr="00397F2D">
        <w:rPr>
          <w:rStyle w:val="Strong"/>
          <w:rFonts w:ascii="Segoe UI" w:hAnsi="Segoe UI" w:cs="Segoe UI"/>
          <w:color w:val="374151"/>
        </w:rPr>
        <w:t>Dividend Yield</w:t>
      </w:r>
      <w:r>
        <w:rPr>
          <w:rFonts w:ascii="Segoe UI" w:hAnsi="Segoe UI" w:cs="Segoe UI"/>
          <w:color w:val="374151"/>
        </w:rPr>
        <w:t>: If applicable, the dividend yield is the annual dividend payment per share divided by the stock's current price. It represents the percentage return an investor can expect to receive from dividends.</w:t>
      </w:r>
    </w:p>
    <w:p w14:paraId="1792C393" w14:textId="77777777" w:rsidR="00F13FAD" w:rsidRDefault="00F13FAD" w:rsidP="00F13FAD">
      <w:pPr>
        <w:pStyle w:val="NormalWeb"/>
        <w:numPr>
          <w:ilvl w:val="0"/>
          <w:numId w:val="40"/>
        </w:numPr>
        <w:spacing w:before="0" w:beforeAutospacing="0" w:after="0" w:afterAutospacing="0"/>
        <w:ind w:left="0"/>
        <w:jc w:val="both"/>
        <w:rPr>
          <w:rFonts w:ascii="Segoe UI" w:hAnsi="Segoe UI" w:cs="Segoe UI"/>
          <w:color w:val="374151"/>
        </w:rPr>
      </w:pPr>
      <w:r w:rsidRPr="00397F2D">
        <w:rPr>
          <w:rStyle w:val="Strong"/>
          <w:rFonts w:ascii="Segoe UI" w:hAnsi="Segoe UI" w:cs="Segoe UI"/>
          <w:color w:val="374151"/>
        </w:rPr>
        <w:t>Earnings Per Share (EPS)</w:t>
      </w:r>
      <w:r>
        <w:rPr>
          <w:rFonts w:ascii="Segoe UI" w:hAnsi="Segoe UI" w:cs="Segoe UI"/>
          <w:color w:val="374151"/>
        </w:rPr>
        <w:t>: EPS is a measure of a company's profitability. It represents the portion of a company's earnings allocated to each outstanding share of common stock.</w:t>
      </w:r>
    </w:p>
    <w:p w14:paraId="746589C8" w14:textId="77777777" w:rsidR="00F13FAD" w:rsidRDefault="00F13FAD" w:rsidP="00F13FAD">
      <w:pPr>
        <w:pStyle w:val="NormalWeb"/>
        <w:spacing w:before="300" w:beforeAutospacing="0" w:after="0" w:afterAutospacing="0"/>
        <w:jc w:val="both"/>
        <w:rPr>
          <w:rFonts w:ascii="Segoe UI" w:hAnsi="Segoe UI" w:cs="Segoe UI"/>
          <w:color w:val="374151"/>
        </w:rPr>
      </w:pPr>
      <w:r>
        <w:rPr>
          <w:rFonts w:ascii="Segoe UI" w:hAnsi="Segoe UI" w:cs="Segoe UI"/>
          <w:color w:val="374151"/>
        </w:rPr>
        <w:t>Stock market quotations are readily available to the public through financial news websites, stock market apps, and trading platforms. Investors use this information to make informed decisions about buying or selling stocks in the market. Keep in mind that stock prices and information can change rapidly during trading hours due to market dynamics and news events</w:t>
      </w:r>
    </w:p>
    <w:p w14:paraId="7663C460" w14:textId="77777777" w:rsidR="00F13FAD" w:rsidRDefault="00F13FAD" w:rsidP="00F13FAD">
      <w:pPr>
        <w:jc w:val="both"/>
      </w:pPr>
    </w:p>
    <w:p w14:paraId="6C71877D" w14:textId="77777777" w:rsidR="00F13FAD" w:rsidRDefault="00F13FAD" w:rsidP="00F13FAD">
      <w:pPr>
        <w:jc w:val="both"/>
      </w:pPr>
      <w:r>
        <w:t>Procedure for Buying and Selling</w:t>
      </w:r>
    </w:p>
    <w:p w14:paraId="5A67C6E9" w14:textId="77777777" w:rsidR="00F13FAD" w:rsidRPr="00397F2D" w:rsidRDefault="00F13FAD" w:rsidP="00F13FAD">
      <w:pPr>
        <w:spacing w:after="300" w:line="240" w:lineRule="auto"/>
        <w:jc w:val="both"/>
        <w:rPr>
          <w:rFonts w:ascii="Segoe UI" w:eastAsia="Times New Roman" w:hAnsi="Segoe UI" w:cs="Segoe UI"/>
          <w:color w:val="374151"/>
          <w:sz w:val="24"/>
          <w:szCs w:val="24"/>
          <w:lang w:val="en-IN" w:eastAsia="en-IN"/>
        </w:rPr>
      </w:pPr>
      <w:r w:rsidRPr="00397F2D">
        <w:rPr>
          <w:rFonts w:ascii="Segoe UI" w:eastAsia="Times New Roman" w:hAnsi="Segoe UI" w:cs="Segoe UI"/>
          <w:color w:val="374151"/>
          <w:sz w:val="24"/>
          <w:szCs w:val="24"/>
          <w:lang w:val="en-IN" w:eastAsia="en-IN"/>
        </w:rPr>
        <w:t>Buying and selling shares on a stock exchange involves a series of steps and requires an understanding of how the stock market works. Here's a general procedure for buying and selling shares:</w:t>
      </w:r>
    </w:p>
    <w:p w14:paraId="5A46C643" w14:textId="77777777" w:rsidR="00F13FAD" w:rsidRPr="00397F2D" w:rsidRDefault="00F13FAD" w:rsidP="00F13FAD">
      <w:pPr>
        <w:spacing w:before="300" w:after="300" w:line="240" w:lineRule="auto"/>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Buying Shares:</w:t>
      </w:r>
    </w:p>
    <w:p w14:paraId="6830EE93" w14:textId="77777777" w:rsidR="00F13FAD" w:rsidRPr="00397F2D" w:rsidRDefault="00F13FAD" w:rsidP="00F13FAD">
      <w:pPr>
        <w:numPr>
          <w:ilvl w:val="0"/>
          <w:numId w:val="41"/>
        </w:numPr>
        <w:spacing w:after="0" w:line="240" w:lineRule="auto"/>
        <w:ind w:left="0"/>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Educate Yourself:</w:t>
      </w:r>
      <w:r w:rsidRPr="00397F2D">
        <w:rPr>
          <w:rFonts w:ascii="Segoe UI" w:eastAsia="Times New Roman" w:hAnsi="Segoe UI" w:cs="Segoe UI"/>
          <w:color w:val="374151"/>
          <w:sz w:val="24"/>
          <w:szCs w:val="24"/>
          <w:lang w:val="en-IN" w:eastAsia="en-IN"/>
        </w:rPr>
        <w:t xml:space="preserve"> Before you start investing, it's crucial to understand the stock market, different investment strategies, and the companies you want to invest in. Conduct research, read financial news, and consider seeking advice from financial experts.</w:t>
      </w:r>
    </w:p>
    <w:p w14:paraId="383D6F5E" w14:textId="77777777" w:rsidR="00F13FAD" w:rsidRPr="00397F2D" w:rsidRDefault="00F13FAD" w:rsidP="00F13FAD">
      <w:pPr>
        <w:numPr>
          <w:ilvl w:val="0"/>
          <w:numId w:val="41"/>
        </w:numPr>
        <w:spacing w:after="0" w:line="240" w:lineRule="auto"/>
        <w:ind w:left="0"/>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Select a Brokerage Account:</w:t>
      </w:r>
    </w:p>
    <w:p w14:paraId="27E64D8E" w14:textId="77777777" w:rsidR="00F13FAD" w:rsidRPr="00397F2D" w:rsidRDefault="00F13FAD" w:rsidP="00F13FAD">
      <w:pPr>
        <w:numPr>
          <w:ilvl w:val="1"/>
          <w:numId w:val="41"/>
        </w:numPr>
        <w:spacing w:after="0" w:line="240" w:lineRule="auto"/>
        <w:ind w:left="720"/>
        <w:jc w:val="both"/>
        <w:rPr>
          <w:rFonts w:ascii="Segoe UI" w:eastAsia="Times New Roman" w:hAnsi="Segoe UI" w:cs="Segoe UI"/>
          <w:color w:val="374151"/>
          <w:sz w:val="24"/>
          <w:szCs w:val="24"/>
          <w:lang w:val="en-IN" w:eastAsia="en-IN"/>
        </w:rPr>
      </w:pPr>
      <w:r w:rsidRPr="00397F2D">
        <w:rPr>
          <w:rFonts w:ascii="Segoe UI" w:eastAsia="Times New Roman" w:hAnsi="Segoe UI" w:cs="Segoe UI"/>
          <w:color w:val="374151"/>
          <w:sz w:val="24"/>
          <w:szCs w:val="24"/>
          <w:lang w:val="en-IN" w:eastAsia="en-IN"/>
        </w:rPr>
        <w:t>Choose a reputable brokerage firm or platform to open an account. You can do this through traditional brokers or online brokerage platforms.</w:t>
      </w:r>
    </w:p>
    <w:p w14:paraId="493A0359" w14:textId="77777777" w:rsidR="00F13FAD" w:rsidRPr="00397F2D" w:rsidRDefault="00F13FAD" w:rsidP="00F13FAD">
      <w:pPr>
        <w:numPr>
          <w:ilvl w:val="0"/>
          <w:numId w:val="41"/>
        </w:numPr>
        <w:spacing w:after="0" w:line="240" w:lineRule="auto"/>
        <w:ind w:left="0"/>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Fund Your Account:</w:t>
      </w:r>
    </w:p>
    <w:p w14:paraId="519F411A" w14:textId="77777777" w:rsidR="00F13FAD" w:rsidRPr="00397F2D" w:rsidRDefault="00F13FAD" w:rsidP="00F13FAD">
      <w:pPr>
        <w:numPr>
          <w:ilvl w:val="1"/>
          <w:numId w:val="41"/>
        </w:numPr>
        <w:spacing w:after="0" w:line="240" w:lineRule="auto"/>
        <w:ind w:left="720"/>
        <w:jc w:val="both"/>
        <w:rPr>
          <w:rFonts w:ascii="Segoe UI" w:eastAsia="Times New Roman" w:hAnsi="Segoe UI" w:cs="Segoe UI"/>
          <w:color w:val="374151"/>
          <w:sz w:val="24"/>
          <w:szCs w:val="24"/>
          <w:lang w:val="en-IN" w:eastAsia="en-IN"/>
        </w:rPr>
      </w:pPr>
      <w:r w:rsidRPr="00397F2D">
        <w:rPr>
          <w:rFonts w:ascii="Segoe UI" w:eastAsia="Times New Roman" w:hAnsi="Segoe UI" w:cs="Segoe UI"/>
          <w:color w:val="374151"/>
          <w:sz w:val="24"/>
          <w:szCs w:val="24"/>
          <w:lang w:val="en-IN" w:eastAsia="en-IN"/>
        </w:rPr>
        <w:t>Deposit money into your brokerage account. This will be the capital you use to buy shares.</w:t>
      </w:r>
    </w:p>
    <w:p w14:paraId="65915F21" w14:textId="77777777" w:rsidR="00F13FAD" w:rsidRPr="00397F2D" w:rsidRDefault="00F13FAD" w:rsidP="00F13FAD">
      <w:pPr>
        <w:numPr>
          <w:ilvl w:val="0"/>
          <w:numId w:val="41"/>
        </w:numPr>
        <w:spacing w:after="0" w:line="240" w:lineRule="auto"/>
        <w:ind w:left="0"/>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Research and Choose Stocks:</w:t>
      </w:r>
    </w:p>
    <w:p w14:paraId="14FB6948" w14:textId="77777777" w:rsidR="00F13FAD" w:rsidRPr="00397F2D" w:rsidRDefault="00F13FAD" w:rsidP="00F13FAD">
      <w:pPr>
        <w:numPr>
          <w:ilvl w:val="1"/>
          <w:numId w:val="41"/>
        </w:numPr>
        <w:spacing w:after="0" w:line="240" w:lineRule="auto"/>
        <w:ind w:left="720"/>
        <w:jc w:val="both"/>
        <w:rPr>
          <w:rFonts w:ascii="Segoe UI" w:eastAsia="Times New Roman" w:hAnsi="Segoe UI" w:cs="Segoe UI"/>
          <w:color w:val="374151"/>
          <w:sz w:val="24"/>
          <w:szCs w:val="24"/>
          <w:lang w:val="en-IN" w:eastAsia="en-IN"/>
        </w:rPr>
      </w:pPr>
      <w:r w:rsidRPr="00397F2D">
        <w:rPr>
          <w:rFonts w:ascii="Segoe UI" w:eastAsia="Times New Roman" w:hAnsi="Segoe UI" w:cs="Segoe UI"/>
          <w:color w:val="374151"/>
          <w:sz w:val="24"/>
          <w:szCs w:val="24"/>
          <w:lang w:val="en-IN" w:eastAsia="en-IN"/>
        </w:rPr>
        <w:t>Analyze companies and stocks you want to invest in. Look at their financial statements, performance, and overall prospects.</w:t>
      </w:r>
    </w:p>
    <w:p w14:paraId="0C029F0A" w14:textId="77777777" w:rsidR="00F13FAD" w:rsidRPr="00397F2D" w:rsidRDefault="00F13FAD" w:rsidP="00F13FAD">
      <w:pPr>
        <w:numPr>
          <w:ilvl w:val="0"/>
          <w:numId w:val="41"/>
        </w:numPr>
        <w:spacing w:after="0" w:line="240" w:lineRule="auto"/>
        <w:ind w:left="0"/>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Place an Order:</w:t>
      </w:r>
    </w:p>
    <w:p w14:paraId="5B9BF8BB" w14:textId="77777777" w:rsidR="00F13FAD" w:rsidRPr="00397F2D" w:rsidRDefault="00F13FAD" w:rsidP="00F13FAD">
      <w:pPr>
        <w:numPr>
          <w:ilvl w:val="1"/>
          <w:numId w:val="41"/>
        </w:numPr>
        <w:spacing w:after="0" w:line="240" w:lineRule="auto"/>
        <w:ind w:left="720"/>
        <w:jc w:val="both"/>
        <w:rPr>
          <w:rFonts w:ascii="Segoe UI" w:eastAsia="Times New Roman" w:hAnsi="Segoe UI" w:cs="Segoe UI"/>
          <w:color w:val="374151"/>
          <w:sz w:val="24"/>
          <w:szCs w:val="24"/>
          <w:lang w:val="en-IN" w:eastAsia="en-IN"/>
        </w:rPr>
      </w:pPr>
      <w:r w:rsidRPr="00397F2D">
        <w:rPr>
          <w:rFonts w:ascii="Segoe UI" w:eastAsia="Times New Roman" w:hAnsi="Segoe UI" w:cs="Segoe UI"/>
          <w:color w:val="374151"/>
          <w:sz w:val="24"/>
          <w:szCs w:val="24"/>
          <w:lang w:val="en-IN" w:eastAsia="en-IN"/>
        </w:rPr>
        <w:t>Log in to your brokerage account and place an order. There are different types of orders:</w:t>
      </w:r>
    </w:p>
    <w:p w14:paraId="09A1FD52" w14:textId="77777777" w:rsidR="00F13FAD" w:rsidRPr="00397F2D" w:rsidRDefault="00F13FAD" w:rsidP="00F13FAD">
      <w:pPr>
        <w:numPr>
          <w:ilvl w:val="2"/>
          <w:numId w:val="41"/>
        </w:numPr>
        <w:spacing w:after="0" w:line="240" w:lineRule="auto"/>
        <w:ind w:left="1440"/>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Market Order:</w:t>
      </w:r>
      <w:r w:rsidRPr="00397F2D">
        <w:rPr>
          <w:rFonts w:ascii="Segoe UI" w:eastAsia="Times New Roman" w:hAnsi="Segoe UI" w:cs="Segoe UI"/>
          <w:color w:val="374151"/>
          <w:sz w:val="24"/>
          <w:szCs w:val="24"/>
          <w:lang w:val="en-IN" w:eastAsia="en-IN"/>
        </w:rPr>
        <w:t xml:space="preserve"> This buys the stock at the current market price.</w:t>
      </w:r>
    </w:p>
    <w:p w14:paraId="267FEF09" w14:textId="77777777" w:rsidR="00F13FAD" w:rsidRPr="00397F2D" w:rsidRDefault="00F13FAD" w:rsidP="00F13FAD">
      <w:pPr>
        <w:numPr>
          <w:ilvl w:val="2"/>
          <w:numId w:val="41"/>
        </w:numPr>
        <w:spacing w:after="0" w:line="240" w:lineRule="auto"/>
        <w:ind w:left="1440"/>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Limit Order:</w:t>
      </w:r>
      <w:r w:rsidRPr="00397F2D">
        <w:rPr>
          <w:rFonts w:ascii="Segoe UI" w:eastAsia="Times New Roman" w:hAnsi="Segoe UI" w:cs="Segoe UI"/>
          <w:color w:val="374151"/>
          <w:sz w:val="24"/>
          <w:szCs w:val="24"/>
          <w:lang w:val="en-IN" w:eastAsia="en-IN"/>
        </w:rPr>
        <w:t xml:space="preserve"> This specifies a price at which you're willing to buy the stock. It will only execute if the stock reaches that price.</w:t>
      </w:r>
    </w:p>
    <w:p w14:paraId="1501E13F" w14:textId="77777777" w:rsidR="00F13FAD" w:rsidRPr="00397F2D" w:rsidRDefault="00F13FAD" w:rsidP="00F13FAD">
      <w:pPr>
        <w:numPr>
          <w:ilvl w:val="2"/>
          <w:numId w:val="41"/>
        </w:numPr>
        <w:spacing w:after="0" w:line="240" w:lineRule="auto"/>
        <w:ind w:left="1440"/>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Stop Order:</w:t>
      </w:r>
      <w:r w:rsidRPr="00397F2D">
        <w:rPr>
          <w:rFonts w:ascii="Segoe UI" w:eastAsia="Times New Roman" w:hAnsi="Segoe UI" w:cs="Segoe UI"/>
          <w:color w:val="374151"/>
          <w:sz w:val="24"/>
          <w:szCs w:val="24"/>
          <w:lang w:val="en-IN" w:eastAsia="en-IN"/>
        </w:rPr>
        <w:t xml:space="preserve"> This becomes a market order once the stock reaches a specified price.</w:t>
      </w:r>
    </w:p>
    <w:p w14:paraId="042AF17A" w14:textId="77777777" w:rsidR="00F13FAD" w:rsidRPr="00397F2D" w:rsidRDefault="00F13FAD" w:rsidP="00F13FAD">
      <w:pPr>
        <w:numPr>
          <w:ilvl w:val="0"/>
          <w:numId w:val="41"/>
        </w:numPr>
        <w:spacing w:after="0" w:line="240" w:lineRule="auto"/>
        <w:ind w:left="0"/>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Confirm Your Order:</w:t>
      </w:r>
    </w:p>
    <w:p w14:paraId="7E7E82A6" w14:textId="77777777" w:rsidR="00F13FAD" w:rsidRPr="00397F2D" w:rsidRDefault="00F13FAD" w:rsidP="00F13FAD">
      <w:pPr>
        <w:numPr>
          <w:ilvl w:val="1"/>
          <w:numId w:val="41"/>
        </w:numPr>
        <w:spacing w:after="0" w:line="240" w:lineRule="auto"/>
        <w:ind w:left="720"/>
        <w:jc w:val="both"/>
        <w:rPr>
          <w:rFonts w:ascii="Segoe UI" w:eastAsia="Times New Roman" w:hAnsi="Segoe UI" w:cs="Segoe UI"/>
          <w:color w:val="374151"/>
          <w:sz w:val="24"/>
          <w:szCs w:val="24"/>
          <w:lang w:val="en-IN" w:eastAsia="en-IN"/>
        </w:rPr>
      </w:pPr>
      <w:r w:rsidRPr="00397F2D">
        <w:rPr>
          <w:rFonts w:ascii="Segoe UI" w:eastAsia="Times New Roman" w:hAnsi="Segoe UI" w:cs="Segoe UI"/>
          <w:color w:val="374151"/>
          <w:sz w:val="24"/>
          <w:szCs w:val="24"/>
          <w:lang w:val="en-IN" w:eastAsia="en-IN"/>
        </w:rPr>
        <w:t>Review the order details for accuracy and confirm your purchase.</w:t>
      </w:r>
    </w:p>
    <w:p w14:paraId="56671663" w14:textId="77777777" w:rsidR="00F13FAD" w:rsidRPr="00397F2D" w:rsidRDefault="00F13FAD" w:rsidP="00F13FAD">
      <w:pPr>
        <w:numPr>
          <w:ilvl w:val="0"/>
          <w:numId w:val="41"/>
        </w:numPr>
        <w:spacing w:after="0" w:line="240" w:lineRule="auto"/>
        <w:ind w:left="0"/>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Monitor Your Investment:</w:t>
      </w:r>
    </w:p>
    <w:p w14:paraId="4BD2A603" w14:textId="77777777" w:rsidR="00F13FAD" w:rsidRPr="00397F2D" w:rsidRDefault="00F13FAD" w:rsidP="00F13FAD">
      <w:pPr>
        <w:numPr>
          <w:ilvl w:val="1"/>
          <w:numId w:val="41"/>
        </w:numPr>
        <w:spacing w:after="0" w:line="240" w:lineRule="auto"/>
        <w:ind w:left="720"/>
        <w:jc w:val="both"/>
        <w:rPr>
          <w:rFonts w:ascii="Segoe UI" w:eastAsia="Times New Roman" w:hAnsi="Segoe UI" w:cs="Segoe UI"/>
          <w:color w:val="374151"/>
          <w:sz w:val="24"/>
          <w:szCs w:val="24"/>
          <w:lang w:val="en-IN" w:eastAsia="en-IN"/>
        </w:rPr>
      </w:pPr>
      <w:r w:rsidRPr="00397F2D">
        <w:rPr>
          <w:rFonts w:ascii="Segoe UI" w:eastAsia="Times New Roman" w:hAnsi="Segoe UI" w:cs="Segoe UI"/>
          <w:color w:val="374151"/>
          <w:sz w:val="24"/>
          <w:szCs w:val="24"/>
          <w:lang w:val="en-IN" w:eastAsia="en-IN"/>
        </w:rPr>
        <w:t>Keep track of your investment's performance, market news, and company developments.</w:t>
      </w:r>
    </w:p>
    <w:p w14:paraId="6B3796F5" w14:textId="77777777" w:rsidR="00F13FAD" w:rsidRPr="00397F2D" w:rsidRDefault="00F13FAD" w:rsidP="00F13FAD">
      <w:pPr>
        <w:spacing w:before="300" w:after="300" w:line="240" w:lineRule="auto"/>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Selling Shares:</w:t>
      </w:r>
    </w:p>
    <w:p w14:paraId="4EA714FD" w14:textId="77777777" w:rsidR="00F13FAD" w:rsidRPr="00397F2D" w:rsidRDefault="00F13FAD" w:rsidP="00F13FAD">
      <w:pPr>
        <w:numPr>
          <w:ilvl w:val="0"/>
          <w:numId w:val="42"/>
        </w:numPr>
        <w:spacing w:after="0" w:line="240" w:lineRule="auto"/>
        <w:ind w:left="0"/>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Log In to Your Brokerage Account:</w:t>
      </w:r>
      <w:r w:rsidRPr="00397F2D">
        <w:rPr>
          <w:rFonts w:ascii="Segoe UI" w:eastAsia="Times New Roman" w:hAnsi="Segoe UI" w:cs="Segoe UI"/>
          <w:color w:val="374151"/>
          <w:sz w:val="24"/>
          <w:szCs w:val="24"/>
          <w:lang w:val="en-IN" w:eastAsia="en-IN"/>
        </w:rPr>
        <w:t xml:space="preserve"> Access your brokerage account online or through your chosen platform.</w:t>
      </w:r>
    </w:p>
    <w:p w14:paraId="7ADCFB9C" w14:textId="77777777" w:rsidR="00F13FAD" w:rsidRPr="00397F2D" w:rsidRDefault="00F13FAD" w:rsidP="00F13FAD">
      <w:pPr>
        <w:numPr>
          <w:ilvl w:val="0"/>
          <w:numId w:val="42"/>
        </w:numPr>
        <w:spacing w:after="0" w:line="240" w:lineRule="auto"/>
        <w:ind w:left="0"/>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Select the Stock to Sell:</w:t>
      </w:r>
    </w:p>
    <w:p w14:paraId="0AAD7760" w14:textId="77777777" w:rsidR="00F13FAD" w:rsidRPr="00397F2D" w:rsidRDefault="00F13FAD" w:rsidP="00F13FAD">
      <w:pPr>
        <w:numPr>
          <w:ilvl w:val="1"/>
          <w:numId w:val="42"/>
        </w:numPr>
        <w:spacing w:after="0" w:line="240" w:lineRule="auto"/>
        <w:ind w:left="720"/>
        <w:jc w:val="both"/>
        <w:rPr>
          <w:rFonts w:ascii="Segoe UI" w:eastAsia="Times New Roman" w:hAnsi="Segoe UI" w:cs="Segoe UI"/>
          <w:color w:val="374151"/>
          <w:sz w:val="24"/>
          <w:szCs w:val="24"/>
          <w:lang w:val="en-IN" w:eastAsia="en-IN"/>
        </w:rPr>
      </w:pPr>
      <w:r w:rsidRPr="00397F2D">
        <w:rPr>
          <w:rFonts w:ascii="Segoe UI" w:eastAsia="Times New Roman" w:hAnsi="Segoe UI" w:cs="Segoe UI"/>
          <w:color w:val="374151"/>
          <w:sz w:val="24"/>
          <w:szCs w:val="24"/>
          <w:lang w:val="en-IN" w:eastAsia="en-IN"/>
        </w:rPr>
        <w:t>Choose the stock you want to sell from your portfolio.</w:t>
      </w:r>
    </w:p>
    <w:p w14:paraId="3BC96056" w14:textId="77777777" w:rsidR="00F13FAD" w:rsidRPr="00397F2D" w:rsidRDefault="00F13FAD" w:rsidP="00F13FAD">
      <w:pPr>
        <w:numPr>
          <w:ilvl w:val="0"/>
          <w:numId w:val="42"/>
        </w:numPr>
        <w:spacing w:after="0" w:line="240" w:lineRule="auto"/>
        <w:ind w:left="0"/>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Place an Order:</w:t>
      </w:r>
    </w:p>
    <w:p w14:paraId="3781A181" w14:textId="77777777" w:rsidR="00F13FAD" w:rsidRPr="00397F2D" w:rsidRDefault="00F13FAD" w:rsidP="00F13FAD">
      <w:pPr>
        <w:numPr>
          <w:ilvl w:val="1"/>
          <w:numId w:val="42"/>
        </w:numPr>
        <w:spacing w:after="0" w:line="240" w:lineRule="auto"/>
        <w:ind w:left="720"/>
        <w:jc w:val="both"/>
        <w:rPr>
          <w:rFonts w:ascii="Segoe UI" w:eastAsia="Times New Roman" w:hAnsi="Segoe UI" w:cs="Segoe UI"/>
          <w:color w:val="374151"/>
          <w:sz w:val="24"/>
          <w:szCs w:val="24"/>
          <w:lang w:val="en-IN" w:eastAsia="en-IN"/>
        </w:rPr>
      </w:pPr>
      <w:r w:rsidRPr="00397F2D">
        <w:rPr>
          <w:rFonts w:ascii="Segoe UI" w:eastAsia="Times New Roman" w:hAnsi="Segoe UI" w:cs="Segoe UI"/>
          <w:color w:val="374151"/>
          <w:sz w:val="24"/>
          <w:szCs w:val="24"/>
          <w:lang w:val="en-IN" w:eastAsia="en-IN"/>
        </w:rPr>
        <w:t>Just like with buying, you can place different types of sell orders, including market, limit, or stop orders. Specify the number of shares you want to sell.</w:t>
      </w:r>
    </w:p>
    <w:p w14:paraId="031D98AD" w14:textId="77777777" w:rsidR="00F13FAD" w:rsidRPr="00397F2D" w:rsidRDefault="00F13FAD" w:rsidP="00F13FAD">
      <w:pPr>
        <w:numPr>
          <w:ilvl w:val="0"/>
          <w:numId w:val="42"/>
        </w:numPr>
        <w:spacing w:after="0" w:line="240" w:lineRule="auto"/>
        <w:ind w:left="0"/>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Confirm Your Order:</w:t>
      </w:r>
    </w:p>
    <w:p w14:paraId="2176CAEA" w14:textId="77777777" w:rsidR="00F13FAD" w:rsidRPr="00397F2D" w:rsidRDefault="00F13FAD" w:rsidP="00F13FAD">
      <w:pPr>
        <w:numPr>
          <w:ilvl w:val="1"/>
          <w:numId w:val="42"/>
        </w:numPr>
        <w:spacing w:after="0" w:line="240" w:lineRule="auto"/>
        <w:ind w:left="720"/>
        <w:jc w:val="both"/>
        <w:rPr>
          <w:rFonts w:ascii="Segoe UI" w:eastAsia="Times New Roman" w:hAnsi="Segoe UI" w:cs="Segoe UI"/>
          <w:color w:val="374151"/>
          <w:sz w:val="24"/>
          <w:szCs w:val="24"/>
          <w:lang w:val="en-IN" w:eastAsia="en-IN"/>
        </w:rPr>
      </w:pPr>
      <w:r w:rsidRPr="00397F2D">
        <w:rPr>
          <w:rFonts w:ascii="Segoe UI" w:eastAsia="Times New Roman" w:hAnsi="Segoe UI" w:cs="Segoe UI"/>
          <w:color w:val="374151"/>
          <w:sz w:val="24"/>
          <w:szCs w:val="24"/>
          <w:lang w:val="en-IN" w:eastAsia="en-IN"/>
        </w:rPr>
        <w:t>Review the order details to ensure accuracy and confirm your sale.</w:t>
      </w:r>
    </w:p>
    <w:p w14:paraId="655330F9" w14:textId="77777777" w:rsidR="00F13FAD" w:rsidRPr="00397F2D" w:rsidRDefault="00F13FAD" w:rsidP="00F13FAD">
      <w:pPr>
        <w:numPr>
          <w:ilvl w:val="0"/>
          <w:numId w:val="42"/>
        </w:numPr>
        <w:spacing w:after="0" w:line="240" w:lineRule="auto"/>
        <w:ind w:left="0"/>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Monitor the Transaction:</w:t>
      </w:r>
    </w:p>
    <w:p w14:paraId="438AB99E" w14:textId="77777777" w:rsidR="00F13FAD" w:rsidRPr="00397F2D" w:rsidRDefault="00F13FAD" w:rsidP="00F13FAD">
      <w:pPr>
        <w:numPr>
          <w:ilvl w:val="1"/>
          <w:numId w:val="42"/>
        </w:numPr>
        <w:spacing w:after="0" w:line="240" w:lineRule="auto"/>
        <w:ind w:left="720"/>
        <w:jc w:val="both"/>
        <w:rPr>
          <w:rFonts w:ascii="Segoe UI" w:eastAsia="Times New Roman" w:hAnsi="Segoe UI" w:cs="Segoe UI"/>
          <w:color w:val="374151"/>
          <w:sz w:val="24"/>
          <w:szCs w:val="24"/>
          <w:lang w:val="en-IN" w:eastAsia="en-IN"/>
        </w:rPr>
      </w:pPr>
      <w:r w:rsidRPr="00397F2D">
        <w:rPr>
          <w:rFonts w:ascii="Segoe UI" w:eastAsia="Times New Roman" w:hAnsi="Segoe UI" w:cs="Segoe UI"/>
          <w:color w:val="374151"/>
          <w:sz w:val="24"/>
          <w:szCs w:val="24"/>
          <w:lang w:val="en-IN" w:eastAsia="en-IN"/>
        </w:rPr>
        <w:t>Keep an eye on your order's execution. In most cases, your shares will be sold at or near the price you specified.</w:t>
      </w:r>
    </w:p>
    <w:p w14:paraId="3BFFB139" w14:textId="77777777" w:rsidR="00F13FAD" w:rsidRPr="00397F2D" w:rsidRDefault="00F13FAD" w:rsidP="00F13FAD">
      <w:pPr>
        <w:numPr>
          <w:ilvl w:val="0"/>
          <w:numId w:val="42"/>
        </w:numPr>
        <w:spacing w:after="0" w:line="240" w:lineRule="auto"/>
        <w:ind w:left="0"/>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Review the Settlement Process:</w:t>
      </w:r>
    </w:p>
    <w:p w14:paraId="5B3EB4D7" w14:textId="77777777" w:rsidR="00F13FAD" w:rsidRPr="00397F2D" w:rsidRDefault="00F13FAD" w:rsidP="00F13FAD">
      <w:pPr>
        <w:numPr>
          <w:ilvl w:val="1"/>
          <w:numId w:val="42"/>
        </w:numPr>
        <w:spacing w:after="0" w:line="240" w:lineRule="auto"/>
        <w:ind w:left="720"/>
        <w:jc w:val="both"/>
        <w:rPr>
          <w:rFonts w:ascii="Segoe UI" w:eastAsia="Times New Roman" w:hAnsi="Segoe UI" w:cs="Segoe UI"/>
          <w:color w:val="374151"/>
          <w:sz w:val="24"/>
          <w:szCs w:val="24"/>
          <w:lang w:val="en-IN" w:eastAsia="en-IN"/>
        </w:rPr>
      </w:pPr>
      <w:r w:rsidRPr="00397F2D">
        <w:rPr>
          <w:rFonts w:ascii="Segoe UI" w:eastAsia="Times New Roman" w:hAnsi="Segoe UI" w:cs="Segoe UI"/>
          <w:color w:val="374151"/>
          <w:sz w:val="24"/>
          <w:szCs w:val="24"/>
          <w:lang w:val="en-IN" w:eastAsia="en-IN"/>
        </w:rPr>
        <w:t>After your sell order is executed, it typically takes a few days for the trade to settle. During this time, the funds from the sale will be transferred to your brokerage account.</w:t>
      </w:r>
    </w:p>
    <w:p w14:paraId="0FAC93D8" w14:textId="77777777" w:rsidR="00F13FAD" w:rsidRPr="00397F2D" w:rsidRDefault="00F13FAD" w:rsidP="00F13FAD">
      <w:pPr>
        <w:numPr>
          <w:ilvl w:val="0"/>
          <w:numId w:val="42"/>
        </w:numPr>
        <w:spacing w:after="0" w:line="240" w:lineRule="auto"/>
        <w:ind w:left="0"/>
        <w:jc w:val="both"/>
        <w:rPr>
          <w:rFonts w:ascii="Segoe UI" w:eastAsia="Times New Roman" w:hAnsi="Segoe UI" w:cs="Segoe UI"/>
          <w:color w:val="374151"/>
          <w:sz w:val="24"/>
          <w:szCs w:val="24"/>
          <w:lang w:val="en-IN" w:eastAsia="en-IN"/>
        </w:rPr>
      </w:pPr>
      <w:r w:rsidRPr="00397F2D">
        <w:rPr>
          <w:rFonts w:ascii="Segoe UI" w:eastAsia="Times New Roman" w:hAnsi="Segoe UI" w:cs="Segoe UI"/>
          <w:b/>
          <w:bCs/>
          <w:color w:val="374151"/>
          <w:sz w:val="24"/>
          <w:szCs w:val="24"/>
          <w:lang w:val="en-IN" w:eastAsia="en-IN"/>
        </w:rPr>
        <w:t>Withdraw or Reinvest Funds:</w:t>
      </w:r>
    </w:p>
    <w:p w14:paraId="6AB082FC" w14:textId="77777777" w:rsidR="00F13FAD" w:rsidRPr="00397F2D" w:rsidRDefault="00F13FAD" w:rsidP="00F13FAD">
      <w:pPr>
        <w:numPr>
          <w:ilvl w:val="1"/>
          <w:numId w:val="42"/>
        </w:numPr>
        <w:spacing w:after="0" w:line="240" w:lineRule="auto"/>
        <w:ind w:left="720"/>
        <w:jc w:val="both"/>
        <w:rPr>
          <w:rFonts w:ascii="Segoe UI" w:eastAsia="Times New Roman" w:hAnsi="Segoe UI" w:cs="Segoe UI"/>
          <w:color w:val="374151"/>
          <w:sz w:val="24"/>
          <w:szCs w:val="24"/>
          <w:lang w:val="en-IN" w:eastAsia="en-IN"/>
        </w:rPr>
      </w:pPr>
      <w:r w:rsidRPr="00397F2D">
        <w:rPr>
          <w:rFonts w:ascii="Segoe UI" w:eastAsia="Times New Roman" w:hAnsi="Segoe UI" w:cs="Segoe UI"/>
          <w:color w:val="374151"/>
          <w:sz w:val="24"/>
          <w:szCs w:val="24"/>
          <w:lang w:val="en-IN" w:eastAsia="en-IN"/>
        </w:rPr>
        <w:t>You can withdraw the proceeds from the sale or use them to invest in other stocks or assets.</w:t>
      </w:r>
    </w:p>
    <w:p w14:paraId="109DDC42" w14:textId="77777777" w:rsidR="00F13FAD" w:rsidRPr="00397F2D" w:rsidRDefault="00F13FAD" w:rsidP="00F13FAD">
      <w:pPr>
        <w:spacing w:before="300" w:after="0" w:line="240" w:lineRule="auto"/>
        <w:jc w:val="both"/>
        <w:rPr>
          <w:rFonts w:ascii="Segoe UI" w:eastAsia="Times New Roman" w:hAnsi="Segoe UI" w:cs="Segoe UI"/>
          <w:color w:val="374151"/>
          <w:sz w:val="24"/>
          <w:szCs w:val="24"/>
          <w:lang w:val="en-IN" w:eastAsia="en-IN"/>
        </w:rPr>
      </w:pPr>
      <w:r w:rsidRPr="00397F2D">
        <w:rPr>
          <w:rFonts w:ascii="Segoe UI" w:eastAsia="Times New Roman" w:hAnsi="Segoe UI" w:cs="Segoe UI"/>
          <w:color w:val="374151"/>
          <w:sz w:val="24"/>
          <w:szCs w:val="24"/>
          <w:lang w:val="en-IN" w:eastAsia="en-IN"/>
        </w:rPr>
        <w:t>Remember that investing in the stock market carries risks, and it's important to have a clear investment strategy, diversify your portfolio, and be prepared for the possibility of losses. Additionally, tax implications may arise from buying and selling shares, so consider consulting a tax professional for guidance.</w:t>
      </w:r>
    </w:p>
    <w:p w14:paraId="13179A3C" w14:textId="77777777" w:rsidR="00F13FAD" w:rsidRDefault="00F13FAD" w:rsidP="00F13FAD">
      <w:pPr>
        <w:jc w:val="both"/>
      </w:pPr>
    </w:p>
    <w:p w14:paraId="0B84A380" w14:textId="77777777" w:rsidR="00F13FAD" w:rsidRDefault="00F13FAD" w:rsidP="00F13FAD">
      <w:pPr>
        <w:jc w:val="both"/>
      </w:pPr>
      <w:r>
        <w:t>BOLT – Online trading / NEAT system</w:t>
      </w:r>
    </w:p>
    <w:p w14:paraId="7A8125B6" w14:textId="77777777" w:rsidR="00F13FAD" w:rsidRPr="00745EEA" w:rsidRDefault="00F13FAD" w:rsidP="00F13FAD">
      <w:pPr>
        <w:numPr>
          <w:ilvl w:val="0"/>
          <w:numId w:val="43"/>
        </w:numPr>
        <w:spacing w:after="0" w:line="240" w:lineRule="auto"/>
        <w:ind w:left="0"/>
        <w:jc w:val="both"/>
        <w:rPr>
          <w:rFonts w:ascii="Segoe UI" w:eastAsia="Times New Roman" w:hAnsi="Segoe UI" w:cs="Segoe UI"/>
          <w:color w:val="374151"/>
          <w:sz w:val="24"/>
          <w:szCs w:val="24"/>
          <w:lang w:val="en-IN" w:eastAsia="en-IN"/>
        </w:rPr>
      </w:pPr>
      <w:r w:rsidRPr="00745EEA">
        <w:rPr>
          <w:rFonts w:ascii="Segoe UI" w:eastAsia="Times New Roman" w:hAnsi="Segoe UI" w:cs="Segoe UI"/>
          <w:b/>
          <w:bCs/>
          <w:color w:val="374151"/>
          <w:sz w:val="24"/>
          <w:szCs w:val="24"/>
          <w:lang w:val="en-IN" w:eastAsia="en-IN"/>
        </w:rPr>
        <w:t>Introduction:</w:t>
      </w:r>
      <w:r w:rsidRPr="00745EEA">
        <w:rPr>
          <w:rFonts w:ascii="Segoe UI" w:eastAsia="Times New Roman" w:hAnsi="Segoe UI" w:cs="Segoe UI"/>
          <w:color w:val="374151"/>
          <w:sz w:val="24"/>
          <w:szCs w:val="24"/>
          <w:lang w:val="en-IN" w:eastAsia="en-IN"/>
        </w:rPr>
        <w:t xml:space="preserve"> BOLT is the electronic trading platform developed by BSE for the trading of equities, derivatives, and other financial instruments. It has replaced the traditional open outcry system with an electronic order matching system.</w:t>
      </w:r>
    </w:p>
    <w:p w14:paraId="4790AA82" w14:textId="77777777" w:rsidR="00F13FAD" w:rsidRPr="00745EEA" w:rsidRDefault="00F13FAD" w:rsidP="00F13FAD">
      <w:pPr>
        <w:numPr>
          <w:ilvl w:val="0"/>
          <w:numId w:val="43"/>
        </w:numPr>
        <w:spacing w:after="0" w:line="240" w:lineRule="auto"/>
        <w:ind w:left="0"/>
        <w:jc w:val="both"/>
        <w:rPr>
          <w:rFonts w:ascii="Segoe UI" w:eastAsia="Times New Roman" w:hAnsi="Segoe UI" w:cs="Segoe UI"/>
          <w:color w:val="374151"/>
          <w:sz w:val="24"/>
          <w:szCs w:val="24"/>
          <w:lang w:val="en-IN" w:eastAsia="en-IN"/>
        </w:rPr>
      </w:pPr>
      <w:r w:rsidRPr="00745EEA">
        <w:rPr>
          <w:rFonts w:ascii="Segoe UI" w:eastAsia="Times New Roman" w:hAnsi="Segoe UI" w:cs="Segoe UI"/>
          <w:b/>
          <w:bCs/>
          <w:color w:val="374151"/>
          <w:sz w:val="24"/>
          <w:szCs w:val="24"/>
          <w:lang w:val="en-IN" w:eastAsia="en-IN"/>
        </w:rPr>
        <w:t>Features:</w:t>
      </w:r>
    </w:p>
    <w:p w14:paraId="13EA0C94" w14:textId="77777777" w:rsidR="00F13FAD" w:rsidRPr="00745EEA" w:rsidRDefault="00F13FAD" w:rsidP="00F13FAD">
      <w:pPr>
        <w:numPr>
          <w:ilvl w:val="1"/>
          <w:numId w:val="43"/>
        </w:numPr>
        <w:spacing w:after="0" w:line="240" w:lineRule="auto"/>
        <w:ind w:left="720"/>
        <w:jc w:val="both"/>
        <w:rPr>
          <w:rFonts w:ascii="Segoe UI" w:eastAsia="Times New Roman" w:hAnsi="Segoe UI" w:cs="Segoe UI"/>
          <w:color w:val="374151"/>
          <w:sz w:val="24"/>
          <w:szCs w:val="24"/>
          <w:lang w:val="en-IN" w:eastAsia="en-IN"/>
        </w:rPr>
      </w:pPr>
      <w:r w:rsidRPr="00745EEA">
        <w:rPr>
          <w:rFonts w:ascii="Segoe UI" w:eastAsia="Times New Roman" w:hAnsi="Segoe UI" w:cs="Segoe UI"/>
          <w:color w:val="374151"/>
          <w:sz w:val="24"/>
          <w:szCs w:val="24"/>
          <w:lang w:val="en-IN" w:eastAsia="en-IN"/>
        </w:rPr>
        <w:t>Real-time trading: BOLT allows for real-time order placement, matching, and execution.</w:t>
      </w:r>
    </w:p>
    <w:p w14:paraId="14F14AF5" w14:textId="77777777" w:rsidR="00F13FAD" w:rsidRPr="00745EEA" w:rsidRDefault="00F13FAD" w:rsidP="00F13FAD">
      <w:pPr>
        <w:numPr>
          <w:ilvl w:val="1"/>
          <w:numId w:val="43"/>
        </w:numPr>
        <w:spacing w:after="0" w:line="240" w:lineRule="auto"/>
        <w:ind w:left="720"/>
        <w:jc w:val="both"/>
        <w:rPr>
          <w:rFonts w:ascii="Segoe UI" w:eastAsia="Times New Roman" w:hAnsi="Segoe UI" w:cs="Segoe UI"/>
          <w:color w:val="374151"/>
          <w:sz w:val="24"/>
          <w:szCs w:val="24"/>
          <w:lang w:val="en-IN" w:eastAsia="en-IN"/>
        </w:rPr>
      </w:pPr>
      <w:r w:rsidRPr="00745EEA">
        <w:rPr>
          <w:rFonts w:ascii="Segoe UI" w:eastAsia="Times New Roman" w:hAnsi="Segoe UI" w:cs="Segoe UI"/>
          <w:color w:val="374151"/>
          <w:sz w:val="24"/>
          <w:szCs w:val="24"/>
          <w:lang w:val="en-IN" w:eastAsia="en-IN"/>
        </w:rPr>
        <w:t>Multiple asset classes: It supports trading in equities, derivatives, currencies, mutual funds, and debt instruments.</w:t>
      </w:r>
    </w:p>
    <w:p w14:paraId="07D54D88" w14:textId="77777777" w:rsidR="00F13FAD" w:rsidRPr="00745EEA" w:rsidRDefault="00F13FAD" w:rsidP="00F13FAD">
      <w:pPr>
        <w:numPr>
          <w:ilvl w:val="1"/>
          <w:numId w:val="43"/>
        </w:numPr>
        <w:spacing w:after="0" w:line="240" w:lineRule="auto"/>
        <w:ind w:left="720"/>
        <w:jc w:val="both"/>
        <w:rPr>
          <w:rFonts w:ascii="Segoe UI" w:eastAsia="Times New Roman" w:hAnsi="Segoe UI" w:cs="Segoe UI"/>
          <w:color w:val="374151"/>
          <w:sz w:val="24"/>
          <w:szCs w:val="24"/>
          <w:lang w:val="en-IN" w:eastAsia="en-IN"/>
        </w:rPr>
      </w:pPr>
      <w:r w:rsidRPr="00745EEA">
        <w:rPr>
          <w:rFonts w:ascii="Segoe UI" w:eastAsia="Times New Roman" w:hAnsi="Segoe UI" w:cs="Segoe UI"/>
          <w:color w:val="374151"/>
          <w:sz w:val="24"/>
          <w:szCs w:val="24"/>
          <w:lang w:val="en-IN" w:eastAsia="en-IN"/>
        </w:rPr>
        <w:t>High-speed execution: BOLT is designed for high-speed order execution, reducing latency in trade processing.</w:t>
      </w:r>
    </w:p>
    <w:p w14:paraId="1D0C1A8C" w14:textId="77777777" w:rsidR="00F13FAD" w:rsidRPr="00745EEA" w:rsidRDefault="00F13FAD" w:rsidP="00F13FAD">
      <w:pPr>
        <w:numPr>
          <w:ilvl w:val="1"/>
          <w:numId w:val="43"/>
        </w:numPr>
        <w:spacing w:after="0" w:line="240" w:lineRule="auto"/>
        <w:ind w:left="720"/>
        <w:jc w:val="both"/>
        <w:rPr>
          <w:rFonts w:ascii="Segoe UI" w:eastAsia="Times New Roman" w:hAnsi="Segoe UI" w:cs="Segoe UI"/>
          <w:color w:val="374151"/>
          <w:sz w:val="24"/>
          <w:szCs w:val="24"/>
          <w:lang w:val="en-IN" w:eastAsia="en-IN"/>
        </w:rPr>
      </w:pPr>
      <w:r w:rsidRPr="00745EEA">
        <w:rPr>
          <w:rFonts w:ascii="Segoe UI" w:eastAsia="Times New Roman" w:hAnsi="Segoe UI" w:cs="Segoe UI"/>
          <w:color w:val="374151"/>
          <w:sz w:val="24"/>
          <w:szCs w:val="24"/>
          <w:lang w:val="en-IN" w:eastAsia="en-IN"/>
        </w:rPr>
        <w:t>Risk management: The system incorporates risk management mechanisms to prevent erroneous trades and manage market volatility.</w:t>
      </w:r>
    </w:p>
    <w:p w14:paraId="746332EA" w14:textId="77777777" w:rsidR="00F13FAD" w:rsidRPr="00745EEA" w:rsidRDefault="00F13FAD" w:rsidP="00F13FAD">
      <w:pPr>
        <w:numPr>
          <w:ilvl w:val="0"/>
          <w:numId w:val="43"/>
        </w:numPr>
        <w:spacing w:after="0" w:line="240" w:lineRule="auto"/>
        <w:ind w:left="0"/>
        <w:jc w:val="both"/>
        <w:rPr>
          <w:rFonts w:ascii="Segoe UI" w:eastAsia="Times New Roman" w:hAnsi="Segoe UI" w:cs="Segoe UI"/>
          <w:color w:val="374151"/>
          <w:sz w:val="24"/>
          <w:szCs w:val="24"/>
          <w:lang w:val="en-IN" w:eastAsia="en-IN"/>
        </w:rPr>
      </w:pPr>
      <w:r w:rsidRPr="00745EEA">
        <w:rPr>
          <w:rFonts w:ascii="Segoe UI" w:eastAsia="Times New Roman" w:hAnsi="Segoe UI" w:cs="Segoe UI"/>
          <w:b/>
          <w:bCs/>
          <w:color w:val="374151"/>
          <w:sz w:val="24"/>
          <w:szCs w:val="24"/>
          <w:lang w:val="en-IN" w:eastAsia="en-IN"/>
        </w:rPr>
        <w:t>Access:</w:t>
      </w:r>
    </w:p>
    <w:p w14:paraId="1CA534D8" w14:textId="77777777" w:rsidR="00F13FAD" w:rsidRPr="00745EEA" w:rsidRDefault="00F13FAD" w:rsidP="00F13FAD">
      <w:pPr>
        <w:numPr>
          <w:ilvl w:val="1"/>
          <w:numId w:val="43"/>
        </w:numPr>
        <w:spacing w:after="0" w:line="240" w:lineRule="auto"/>
        <w:ind w:left="720"/>
        <w:jc w:val="both"/>
        <w:rPr>
          <w:rFonts w:ascii="Segoe UI" w:eastAsia="Times New Roman" w:hAnsi="Segoe UI" w:cs="Segoe UI"/>
          <w:color w:val="374151"/>
          <w:sz w:val="24"/>
          <w:szCs w:val="24"/>
          <w:lang w:val="en-IN" w:eastAsia="en-IN"/>
        </w:rPr>
      </w:pPr>
      <w:r w:rsidRPr="00745EEA">
        <w:rPr>
          <w:rFonts w:ascii="Segoe UI" w:eastAsia="Times New Roman" w:hAnsi="Segoe UI" w:cs="Segoe UI"/>
          <w:color w:val="374151"/>
          <w:sz w:val="24"/>
          <w:szCs w:val="24"/>
          <w:lang w:val="en-IN" w:eastAsia="en-IN"/>
        </w:rPr>
        <w:t>BOLT is accessible to traders and investors through authorized brokers and trading members of the BSE.</w:t>
      </w:r>
    </w:p>
    <w:p w14:paraId="08E9036F" w14:textId="77777777" w:rsidR="00F13FAD" w:rsidRPr="00745EEA" w:rsidRDefault="00F13FAD" w:rsidP="00F13FAD">
      <w:pPr>
        <w:numPr>
          <w:ilvl w:val="1"/>
          <w:numId w:val="43"/>
        </w:numPr>
        <w:spacing w:after="0" w:line="240" w:lineRule="auto"/>
        <w:ind w:left="720"/>
        <w:jc w:val="both"/>
        <w:rPr>
          <w:rFonts w:ascii="Segoe UI" w:eastAsia="Times New Roman" w:hAnsi="Segoe UI" w:cs="Segoe UI"/>
          <w:color w:val="374151"/>
          <w:sz w:val="24"/>
          <w:szCs w:val="24"/>
          <w:lang w:val="en-IN" w:eastAsia="en-IN"/>
        </w:rPr>
      </w:pPr>
      <w:r w:rsidRPr="00745EEA">
        <w:rPr>
          <w:rFonts w:ascii="Segoe UI" w:eastAsia="Times New Roman" w:hAnsi="Segoe UI" w:cs="Segoe UI"/>
          <w:color w:val="374151"/>
          <w:sz w:val="24"/>
          <w:szCs w:val="24"/>
          <w:lang w:val="en-IN" w:eastAsia="en-IN"/>
        </w:rPr>
        <w:t>Brokers use trading terminals connected to the BOLT system to execute orders on behalf of their clients.</w:t>
      </w:r>
    </w:p>
    <w:p w14:paraId="6E357F4E" w14:textId="77777777" w:rsidR="00F13FAD" w:rsidRPr="00745EEA" w:rsidRDefault="00F13FAD" w:rsidP="00F13FAD">
      <w:pPr>
        <w:numPr>
          <w:ilvl w:val="0"/>
          <w:numId w:val="43"/>
        </w:numPr>
        <w:spacing w:after="0" w:line="240" w:lineRule="auto"/>
        <w:ind w:left="0"/>
        <w:jc w:val="both"/>
        <w:rPr>
          <w:rFonts w:ascii="Segoe UI" w:eastAsia="Times New Roman" w:hAnsi="Segoe UI" w:cs="Segoe UI"/>
          <w:color w:val="374151"/>
          <w:sz w:val="24"/>
          <w:szCs w:val="24"/>
          <w:lang w:val="en-IN" w:eastAsia="en-IN"/>
        </w:rPr>
      </w:pPr>
      <w:r w:rsidRPr="00745EEA">
        <w:rPr>
          <w:rFonts w:ascii="Segoe UI" w:eastAsia="Times New Roman" w:hAnsi="Segoe UI" w:cs="Segoe UI"/>
          <w:b/>
          <w:bCs/>
          <w:color w:val="374151"/>
          <w:sz w:val="24"/>
          <w:szCs w:val="24"/>
          <w:lang w:val="en-IN" w:eastAsia="en-IN"/>
        </w:rPr>
        <w:t>Order Types:</w:t>
      </w:r>
    </w:p>
    <w:p w14:paraId="1561C634" w14:textId="77777777" w:rsidR="00F13FAD" w:rsidRPr="00745EEA" w:rsidRDefault="00F13FAD" w:rsidP="00F13FAD">
      <w:pPr>
        <w:numPr>
          <w:ilvl w:val="1"/>
          <w:numId w:val="43"/>
        </w:numPr>
        <w:spacing w:after="0" w:line="240" w:lineRule="auto"/>
        <w:ind w:left="720"/>
        <w:jc w:val="both"/>
        <w:rPr>
          <w:rFonts w:ascii="Segoe UI" w:eastAsia="Times New Roman" w:hAnsi="Segoe UI" w:cs="Segoe UI"/>
          <w:color w:val="374151"/>
          <w:sz w:val="24"/>
          <w:szCs w:val="24"/>
          <w:lang w:val="en-IN" w:eastAsia="en-IN"/>
        </w:rPr>
      </w:pPr>
      <w:r w:rsidRPr="00745EEA">
        <w:rPr>
          <w:rFonts w:ascii="Segoe UI" w:eastAsia="Times New Roman" w:hAnsi="Segoe UI" w:cs="Segoe UI"/>
          <w:color w:val="374151"/>
          <w:sz w:val="24"/>
          <w:szCs w:val="24"/>
          <w:lang w:val="en-IN" w:eastAsia="en-IN"/>
        </w:rPr>
        <w:t>Traders can place various types of orders, including market orders, limit orders, stop-loss orders, and more.</w:t>
      </w:r>
    </w:p>
    <w:p w14:paraId="62FD7DE6" w14:textId="77777777" w:rsidR="00F13FAD" w:rsidRPr="00745EEA" w:rsidRDefault="00F13FAD" w:rsidP="00F13FAD">
      <w:pPr>
        <w:numPr>
          <w:ilvl w:val="0"/>
          <w:numId w:val="43"/>
        </w:numPr>
        <w:spacing w:after="0" w:line="240" w:lineRule="auto"/>
        <w:ind w:left="0"/>
        <w:jc w:val="both"/>
        <w:rPr>
          <w:rFonts w:ascii="Segoe UI" w:eastAsia="Times New Roman" w:hAnsi="Segoe UI" w:cs="Segoe UI"/>
          <w:color w:val="374151"/>
          <w:sz w:val="24"/>
          <w:szCs w:val="24"/>
          <w:lang w:val="en-IN" w:eastAsia="en-IN"/>
        </w:rPr>
      </w:pPr>
      <w:r w:rsidRPr="00745EEA">
        <w:rPr>
          <w:rFonts w:ascii="Segoe UI" w:eastAsia="Times New Roman" w:hAnsi="Segoe UI" w:cs="Segoe UI"/>
          <w:b/>
          <w:bCs/>
          <w:color w:val="374151"/>
          <w:sz w:val="24"/>
          <w:szCs w:val="24"/>
          <w:lang w:val="en-IN" w:eastAsia="en-IN"/>
        </w:rPr>
        <w:t>Market Data:</w:t>
      </w:r>
    </w:p>
    <w:p w14:paraId="31D3C58F" w14:textId="77777777" w:rsidR="00F13FAD" w:rsidRPr="00745EEA" w:rsidRDefault="00F13FAD" w:rsidP="00F13FAD">
      <w:pPr>
        <w:numPr>
          <w:ilvl w:val="1"/>
          <w:numId w:val="43"/>
        </w:numPr>
        <w:spacing w:after="0" w:line="240" w:lineRule="auto"/>
        <w:ind w:left="720"/>
        <w:jc w:val="both"/>
        <w:rPr>
          <w:rFonts w:ascii="Segoe UI" w:eastAsia="Times New Roman" w:hAnsi="Segoe UI" w:cs="Segoe UI"/>
          <w:color w:val="374151"/>
          <w:sz w:val="24"/>
          <w:szCs w:val="24"/>
          <w:lang w:val="en-IN" w:eastAsia="en-IN"/>
        </w:rPr>
      </w:pPr>
      <w:r w:rsidRPr="00745EEA">
        <w:rPr>
          <w:rFonts w:ascii="Segoe UI" w:eastAsia="Times New Roman" w:hAnsi="Segoe UI" w:cs="Segoe UI"/>
          <w:color w:val="374151"/>
          <w:sz w:val="24"/>
          <w:szCs w:val="24"/>
          <w:lang w:val="en-IN" w:eastAsia="en-IN"/>
        </w:rPr>
        <w:t>BOLT provides real-time market data, including stock quotes, order book data, and trade information, to traders and investors.</w:t>
      </w:r>
    </w:p>
    <w:p w14:paraId="244ED319" w14:textId="77777777" w:rsidR="00F13FAD" w:rsidRPr="00745EEA" w:rsidRDefault="00F13FAD" w:rsidP="00F13FAD">
      <w:pPr>
        <w:spacing w:before="300" w:after="300" w:line="240" w:lineRule="auto"/>
        <w:jc w:val="both"/>
        <w:rPr>
          <w:rFonts w:ascii="Segoe UI" w:eastAsia="Times New Roman" w:hAnsi="Segoe UI" w:cs="Segoe UI"/>
          <w:color w:val="374151"/>
          <w:sz w:val="24"/>
          <w:szCs w:val="24"/>
          <w:lang w:val="en-IN" w:eastAsia="en-IN"/>
        </w:rPr>
      </w:pPr>
      <w:r w:rsidRPr="00745EEA">
        <w:rPr>
          <w:rFonts w:ascii="Segoe UI" w:eastAsia="Times New Roman" w:hAnsi="Segoe UI" w:cs="Segoe UI"/>
          <w:b/>
          <w:bCs/>
          <w:color w:val="374151"/>
          <w:sz w:val="24"/>
          <w:szCs w:val="24"/>
          <w:lang w:val="en-IN" w:eastAsia="en-IN"/>
        </w:rPr>
        <w:t>NEAT (National Exchange for Automated Trading):</w:t>
      </w:r>
    </w:p>
    <w:p w14:paraId="7F0518E1" w14:textId="77777777" w:rsidR="00F13FAD" w:rsidRPr="00745EEA" w:rsidRDefault="00F13FAD" w:rsidP="00F13FAD">
      <w:pPr>
        <w:numPr>
          <w:ilvl w:val="0"/>
          <w:numId w:val="44"/>
        </w:numPr>
        <w:spacing w:after="0" w:line="240" w:lineRule="auto"/>
        <w:ind w:left="0"/>
        <w:jc w:val="both"/>
        <w:rPr>
          <w:rFonts w:ascii="Segoe UI" w:eastAsia="Times New Roman" w:hAnsi="Segoe UI" w:cs="Segoe UI"/>
          <w:color w:val="374151"/>
          <w:sz w:val="24"/>
          <w:szCs w:val="24"/>
          <w:lang w:val="en-IN" w:eastAsia="en-IN"/>
        </w:rPr>
      </w:pPr>
      <w:r w:rsidRPr="00745EEA">
        <w:rPr>
          <w:rFonts w:ascii="Segoe UI" w:eastAsia="Times New Roman" w:hAnsi="Segoe UI" w:cs="Segoe UI"/>
          <w:b/>
          <w:bCs/>
          <w:color w:val="374151"/>
          <w:sz w:val="24"/>
          <w:szCs w:val="24"/>
          <w:lang w:val="en-IN" w:eastAsia="en-IN"/>
        </w:rPr>
        <w:t>Introduction:</w:t>
      </w:r>
      <w:r w:rsidRPr="00745EEA">
        <w:rPr>
          <w:rFonts w:ascii="Segoe UI" w:eastAsia="Times New Roman" w:hAnsi="Segoe UI" w:cs="Segoe UI"/>
          <w:color w:val="374151"/>
          <w:sz w:val="24"/>
          <w:szCs w:val="24"/>
          <w:lang w:val="en-IN" w:eastAsia="en-IN"/>
        </w:rPr>
        <w:t xml:space="preserve"> NEAT is an integral part of the BOLT system and stands for the National Exchange for Automated Trading. It is the trading platform that automates the order matching and trade execution processes on the BSE.</w:t>
      </w:r>
    </w:p>
    <w:p w14:paraId="019875CA" w14:textId="77777777" w:rsidR="00F13FAD" w:rsidRPr="00745EEA" w:rsidRDefault="00F13FAD" w:rsidP="00F13FAD">
      <w:pPr>
        <w:numPr>
          <w:ilvl w:val="0"/>
          <w:numId w:val="44"/>
        </w:numPr>
        <w:spacing w:after="0" w:line="240" w:lineRule="auto"/>
        <w:ind w:left="0"/>
        <w:jc w:val="both"/>
        <w:rPr>
          <w:rFonts w:ascii="Segoe UI" w:eastAsia="Times New Roman" w:hAnsi="Segoe UI" w:cs="Segoe UI"/>
          <w:color w:val="374151"/>
          <w:sz w:val="24"/>
          <w:szCs w:val="24"/>
          <w:lang w:val="en-IN" w:eastAsia="en-IN"/>
        </w:rPr>
      </w:pPr>
      <w:r w:rsidRPr="00745EEA">
        <w:rPr>
          <w:rFonts w:ascii="Segoe UI" w:eastAsia="Times New Roman" w:hAnsi="Segoe UI" w:cs="Segoe UI"/>
          <w:b/>
          <w:bCs/>
          <w:color w:val="374151"/>
          <w:sz w:val="24"/>
          <w:szCs w:val="24"/>
          <w:lang w:val="en-IN" w:eastAsia="en-IN"/>
        </w:rPr>
        <w:t>Functionality:</w:t>
      </w:r>
    </w:p>
    <w:p w14:paraId="50EB7836" w14:textId="77777777" w:rsidR="00F13FAD" w:rsidRPr="00745EEA" w:rsidRDefault="00F13FAD" w:rsidP="00F13FAD">
      <w:pPr>
        <w:numPr>
          <w:ilvl w:val="1"/>
          <w:numId w:val="44"/>
        </w:numPr>
        <w:spacing w:after="0" w:line="240" w:lineRule="auto"/>
        <w:ind w:left="720"/>
        <w:jc w:val="both"/>
        <w:rPr>
          <w:rFonts w:ascii="Segoe UI" w:eastAsia="Times New Roman" w:hAnsi="Segoe UI" w:cs="Segoe UI"/>
          <w:color w:val="374151"/>
          <w:sz w:val="24"/>
          <w:szCs w:val="24"/>
          <w:lang w:val="en-IN" w:eastAsia="en-IN"/>
        </w:rPr>
      </w:pPr>
      <w:r w:rsidRPr="00745EEA">
        <w:rPr>
          <w:rFonts w:ascii="Segoe UI" w:eastAsia="Times New Roman" w:hAnsi="Segoe UI" w:cs="Segoe UI"/>
          <w:color w:val="374151"/>
          <w:sz w:val="24"/>
          <w:szCs w:val="24"/>
          <w:lang w:val="en-IN" w:eastAsia="en-IN"/>
        </w:rPr>
        <w:t>NEAT facilitates the order routing, matching, and execution of buy and sell orders placed on the BOLT system.</w:t>
      </w:r>
    </w:p>
    <w:p w14:paraId="746F8170" w14:textId="77777777" w:rsidR="00F13FAD" w:rsidRPr="00745EEA" w:rsidRDefault="00F13FAD" w:rsidP="00F13FAD">
      <w:pPr>
        <w:numPr>
          <w:ilvl w:val="1"/>
          <w:numId w:val="44"/>
        </w:numPr>
        <w:spacing w:after="0" w:line="240" w:lineRule="auto"/>
        <w:ind w:left="720"/>
        <w:jc w:val="both"/>
        <w:rPr>
          <w:rFonts w:ascii="Segoe UI" w:eastAsia="Times New Roman" w:hAnsi="Segoe UI" w:cs="Segoe UI"/>
          <w:color w:val="374151"/>
          <w:sz w:val="24"/>
          <w:szCs w:val="24"/>
          <w:lang w:val="en-IN" w:eastAsia="en-IN"/>
        </w:rPr>
      </w:pPr>
      <w:r w:rsidRPr="00745EEA">
        <w:rPr>
          <w:rFonts w:ascii="Segoe UI" w:eastAsia="Times New Roman" w:hAnsi="Segoe UI" w:cs="Segoe UI"/>
          <w:color w:val="374151"/>
          <w:sz w:val="24"/>
          <w:szCs w:val="24"/>
          <w:lang w:val="en-IN" w:eastAsia="en-IN"/>
        </w:rPr>
        <w:t>It operates on a strict price-time priority basis, ensuring that orders are matched based on the best available price and the time they were placed.</w:t>
      </w:r>
    </w:p>
    <w:p w14:paraId="74C5987A" w14:textId="77777777" w:rsidR="00F13FAD" w:rsidRPr="00745EEA" w:rsidRDefault="00F13FAD" w:rsidP="00F13FAD">
      <w:pPr>
        <w:numPr>
          <w:ilvl w:val="0"/>
          <w:numId w:val="44"/>
        </w:numPr>
        <w:spacing w:after="0" w:line="240" w:lineRule="auto"/>
        <w:ind w:left="0"/>
        <w:jc w:val="both"/>
        <w:rPr>
          <w:rFonts w:ascii="Segoe UI" w:eastAsia="Times New Roman" w:hAnsi="Segoe UI" w:cs="Segoe UI"/>
          <w:color w:val="374151"/>
          <w:sz w:val="24"/>
          <w:szCs w:val="24"/>
          <w:lang w:val="en-IN" w:eastAsia="en-IN"/>
        </w:rPr>
      </w:pPr>
      <w:r w:rsidRPr="00745EEA">
        <w:rPr>
          <w:rFonts w:ascii="Segoe UI" w:eastAsia="Times New Roman" w:hAnsi="Segoe UI" w:cs="Segoe UI"/>
          <w:b/>
          <w:bCs/>
          <w:color w:val="374151"/>
          <w:sz w:val="24"/>
          <w:szCs w:val="24"/>
          <w:lang w:val="en-IN" w:eastAsia="en-IN"/>
        </w:rPr>
        <w:t>Order Matching:</w:t>
      </w:r>
    </w:p>
    <w:p w14:paraId="5B7764A6" w14:textId="77777777" w:rsidR="00F13FAD" w:rsidRPr="00745EEA" w:rsidRDefault="00F13FAD" w:rsidP="00F13FAD">
      <w:pPr>
        <w:numPr>
          <w:ilvl w:val="1"/>
          <w:numId w:val="44"/>
        </w:numPr>
        <w:spacing w:after="0" w:line="240" w:lineRule="auto"/>
        <w:ind w:left="720"/>
        <w:jc w:val="both"/>
        <w:rPr>
          <w:rFonts w:ascii="Segoe UI" w:eastAsia="Times New Roman" w:hAnsi="Segoe UI" w:cs="Segoe UI"/>
          <w:color w:val="374151"/>
          <w:sz w:val="24"/>
          <w:szCs w:val="24"/>
          <w:lang w:val="en-IN" w:eastAsia="en-IN"/>
        </w:rPr>
      </w:pPr>
      <w:r w:rsidRPr="00745EEA">
        <w:rPr>
          <w:rFonts w:ascii="Segoe UI" w:eastAsia="Times New Roman" w:hAnsi="Segoe UI" w:cs="Segoe UI"/>
          <w:color w:val="374151"/>
          <w:sz w:val="24"/>
          <w:szCs w:val="24"/>
          <w:lang w:val="en-IN" w:eastAsia="en-IN"/>
        </w:rPr>
        <w:t>NEAT matches buy and sell orders based on price and time priority, ensuring fair and transparent trading.</w:t>
      </w:r>
    </w:p>
    <w:p w14:paraId="0E5D168A" w14:textId="77777777" w:rsidR="00F13FAD" w:rsidRPr="00745EEA" w:rsidRDefault="00F13FAD" w:rsidP="00F13FAD">
      <w:pPr>
        <w:numPr>
          <w:ilvl w:val="0"/>
          <w:numId w:val="44"/>
        </w:numPr>
        <w:spacing w:after="0" w:line="240" w:lineRule="auto"/>
        <w:ind w:left="0"/>
        <w:jc w:val="both"/>
        <w:rPr>
          <w:rFonts w:ascii="Segoe UI" w:eastAsia="Times New Roman" w:hAnsi="Segoe UI" w:cs="Segoe UI"/>
          <w:color w:val="374151"/>
          <w:sz w:val="24"/>
          <w:szCs w:val="24"/>
          <w:lang w:val="en-IN" w:eastAsia="en-IN"/>
        </w:rPr>
      </w:pPr>
      <w:r w:rsidRPr="00745EEA">
        <w:rPr>
          <w:rFonts w:ascii="Segoe UI" w:eastAsia="Times New Roman" w:hAnsi="Segoe UI" w:cs="Segoe UI"/>
          <w:b/>
          <w:bCs/>
          <w:color w:val="374151"/>
          <w:sz w:val="24"/>
          <w:szCs w:val="24"/>
          <w:lang w:val="en-IN" w:eastAsia="en-IN"/>
        </w:rPr>
        <w:t>Market Surveillance:</w:t>
      </w:r>
    </w:p>
    <w:p w14:paraId="243664A1" w14:textId="77777777" w:rsidR="00F13FAD" w:rsidRPr="00745EEA" w:rsidRDefault="00F13FAD" w:rsidP="00F13FAD">
      <w:pPr>
        <w:numPr>
          <w:ilvl w:val="1"/>
          <w:numId w:val="44"/>
        </w:numPr>
        <w:spacing w:after="0" w:line="240" w:lineRule="auto"/>
        <w:ind w:left="720"/>
        <w:jc w:val="both"/>
        <w:rPr>
          <w:rFonts w:ascii="Segoe UI" w:eastAsia="Times New Roman" w:hAnsi="Segoe UI" w:cs="Segoe UI"/>
          <w:color w:val="374151"/>
          <w:sz w:val="24"/>
          <w:szCs w:val="24"/>
          <w:lang w:val="en-IN" w:eastAsia="en-IN"/>
        </w:rPr>
      </w:pPr>
      <w:r w:rsidRPr="00745EEA">
        <w:rPr>
          <w:rFonts w:ascii="Segoe UI" w:eastAsia="Times New Roman" w:hAnsi="Segoe UI" w:cs="Segoe UI"/>
          <w:color w:val="374151"/>
          <w:sz w:val="24"/>
          <w:szCs w:val="24"/>
          <w:lang w:val="en-IN" w:eastAsia="en-IN"/>
        </w:rPr>
        <w:t>NEAT includes surveillance mechanisms to monitor trading activities for irregularities and potential market manipulation.</w:t>
      </w:r>
    </w:p>
    <w:p w14:paraId="55BF4CAE" w14:textId="77777777" w:rsidR="00F13FAD" w:rsidRPr="00745EEA" w:rsidRDefault="00F13FAD" w:rsidP="00F13FAD">
      <w:pPr>
        <w:numPr>
          <w:ilvl w:val="0"/>
          <w:numId w:val="44"/>
        </w:numPr>
        <w:spacing w:after="0" w:line="240" w:lineRule="auto"/>
        <w:ind w:left="0"/>
        <w:jc w:val="both"/>
        <w:rPr>
          <w:rFonts w:ascii="Segoe UI" w:eastAsia="Times New Roman" w:hAnsi="Segoe UI" w:cs="Segoe UI"/>
          <w:color w:val="374151"/>
          <w:sz w:val="24"/>
          <w:szCs w:val="24"/>
          <w:lang w:val="en-IN" w:eastAsia="en-IN"/>
        </w:rPr>
      </w:pPr>
      <w:r w:rsidRPr="00745EEA">
        <w:rPr>
          <w:rFonts w:ascii="Segoe UI" w:eastAsia="Times New Roman" w:hAnsi="Segoe UI" w:cs="Segoe UI"/>
          <w:b/>
          <w:bCs/>
          <w:color w:val="374151"/>
          <w:sz w:val="24"/>
          <w:szCs w:val="24"/>
          <w:lang w:val="en-IN" w:eastAsia="en-IN"/>
        </w:rPr>
        <w:t>Settlement:</w:t>
      </w:r>
    </w:p>
    <w:p w14:paraId="26ED8109" w14:textId="77777777" w:rsidR="00F13FAD" w:rsidRPr="00745EEA" w:rsidRDefault="00F13FAD" w:rsidP="00F13FAD">
      <w:pPr>
        <w:numPr>
          <w:ilvl w:val="1"/>
          <w:numId w:val="44"/>
        </w:numPr>
        <w:spacing w:after="0" w:line="240" w:lineRule="auto"/>
        <w:ind w:left="720"/>
        <w:jc w:val="both"/>
        <w:rPr>
          <w:rFonts w:ascii="Segoe UI" w:eastAsia="Times New Roman" w:hAnsi="Segoe UI" w:cs="Segoe UI"/>
          <w:color w:val="374151"/>
          <w:sz w:val="24"/>
          <w:szCs w:val="24"/>
          <w:lang w:val="en-IN" w:eastAsia="en-IN"/>
        </w:rPr>
      </w:pPr>
      <w:r w:rsidRPr="00745EEA">
        <w:rPr>
          <w:rFonts w:ascii="Segoe UI" w:eastAsia="Times New Roman" w:hAnsi="Segoe UI" w:cs="Segoe UI"/>
          <w:color w:val="374151"/>
          <w:sz w:val="24"/>
          <w:szCs w:val="24"/>
          <w:lang w:val="en-IN" w:eastAsia="en-IN"/>
        </w:rPr>
        <w:t>After trade execution, NEAT plays a role in the settlement process, which involves the transfer of securities and funds between trading participants.</w:t>
      </w:r>
    </w:p>
    <w:p w14:paraId="007BF73D" w14:textId="77777777" w:rsidR="00F13FAD" w:rsidRPr="00745EEA" w:rsidRDefault="00F13FAD" w:rsidP="00F13FAD">
      <w:pPr>
        <w:numPr>
          <w:ilvl w:val="0"/>
          <w:numId w:val="44"/>
        </w:numPr>
        <w:spacing w:after="0" w:line="240" w:lineRule="auto"/>
        <w:ind w:left="0"/>
        <w:jc w:val="both"/>
        <w:rPr>
          <w:rFonts w:ascii="Segoe UI" w:eastAsia="Times New Roman" w:hAnsi="Segoe UI" w:cs="Segoe UI"/>
          <w:color w:val="374151"/>
          <w:sz w:val="24"/>
          <w:szCs w:val="24"/>
          <w:lang w:val="en-IN" w:eastAsia="en-IN"/>
        </w:rPr>
      </w:pPr>
      <w:r w:rsidRPr="00745EEA">
        <w:rPr>
          <w:rFonts w:ascii="Segoe UI" w:eastAsia="Times New Roman" w:hAnsi="Segoe UI" w:cs="Segoe UI"/>
          <w:b/>
          <w:bCs/>
          <w:color w:val="374151"/>
          <w:sz w:val="24"/>
          <w:szCs w:val="24"/>
          <w:lang w:val="en-IN" w:eastAsia="en-IN"/>
        </w:rPr>
        <w:t>Integration:</w:t>
      </w:r>
    </w:p>
    <w:p w14:paraId="2EC87EC8" w14:textId="77777777" w:rsidR="00F13FAD" w:rsidRPr="00745EEA" w:rsidRDefault="00F13FAD" w:rsidP="00F13FAD">
      <w:pPr>
        <w:numPr>
          <w:ilvl w:val="1"/>
          <w:numId w:val="44"/>
        </w:numPr>
        <w:spacing w:after="0" w:line="240" w:lineRule="auto"/>
        <w:ind w:left="720"/>
        <w:jc w:val="both"/>
        <w:rPr>
          <w:rFonts w:ascii="Segoe UI" w:eastAsia="Times New Roman" w:hAnsi="Segoe UI" w:cs="Segoe UI"/>
          <w:color w:val="374151"/>
          <w:sz w:val="24"/>
          <w:szCs w:val="24"/>
          <w:lang w:val="en-IN" w:eastAsia="en-IN"/>
        </w:rPr>
      </w:pPr>
      <w:r w:rsidRPr="00745EEA">
        <w:rPr>
          <w:rFonts w:ascii="Segoe UI" w:eastAsia="Times New Roman" w:hAnsi="Segoe UI" w:cs="Segoe UI"/>
          <w:color w:val="374151"/>
          <w:sz w:val="24"/>
          <w:szCs w:val="24"/>
          <w:lang w:val="en-IN" w:eastAsia="en-IN"/>
        </w:rPr>
        <w:t>NEAT seamlessly integrates with other components of the BSE ecosystem, such as the clearing and settlement systems, to ensure smooth and efficient trading operations.</w:t>
      </w:r>
    </w:p>
    <w:p w14:paraId="5CB48B28" w14:textId="77777777" w:rsidR="00F13FAD" w:rsidRPr="00745EEA" w:rsidRDefault="00F13FAD" w:rsidP="00F13FAD">
      <w:pPr>
        <w:spacing w:before="300" w:after="0" w:line="240" w:lineRule="auto"/>
        <w:jc w:val="both"/>
        <w:rPr>
          <w:rFonts w:ascii="Segoe UI" w:eastAsia="Times New Roman" w:hAnsi="Segoe UI" w:cs="Segoe UI"/>
          <w:color w:val="374151"/>
          <w:sz w:val="24"/>
          <w:szCs w:val="24"/>
          <w:lang w:val="en-IN" w:eastAsia="en-IN"/>
        </w:rPr>
      </w:pPr>
      <w:r w:rsidRPr="00745EEA">
        <w:rPr>
          <w:rFonts w:ascii="Segoe UI" w:eastAsia="Times New Roman" w:hAnsi="Segoe UI" w:cs="Segoe UI"/>
          <w:color w:val="374151"/>
          <w:sz w:val="24"/>
          <w:szCs w:val="24"/>
          <w:lang w:val="en-IN" w:eastAsia="en-IN"/>
        </w:rPr>
        <w:t>In summary, BOLT and NEAT are key components of the Bombay Stock Exchange's electronic trading infrastructure. BOLT is the online trading platform, while NEAT is the order matching and trade execution system that operates within BOLT. Together, they provide a streamlined and automated environment for trading various financial instruments on the BSE</w:t>
      </w:r>
    </w:p>
    <w:p w14:paraId="154B7455" w14:textId="77777777" w:rsidR="00F13FAD" w:rsidRDefault="00F13FAD" w:rsidP="00F13FAD">
      <w:pPr>
        <w:jc w:val="both"/>
      </w:pPr>
    </w:p>
    <w:p w14:paraId="0ABAA72A" w14:textId="77777777" w:rsidR="00F13FAD" w:rsidRDefault="00F13FAD" w:rsidP="00F13FAD">
      <w:pPr>
        <w:jc w:val="both"/>
      </w:pPr>
      <w:r>
        <w:t>Clearing and Settlement</w:t>
      </w:r>
    </w:p>
    <w:p w14:paraId="35ABB845" w14:textId="77777777" w:rsidR="00F13FAD" w:rsidRDefault="00F13FAD" w:rsidP="00F13FAD">
      <w:pPr>
        <w:pStyle w:val="NormalWeb"/>
        <w:spacing w:before="0" w:beforeAutospacing="0" w:after="300" w:afterAutospacing="0"/>
        <w:jc w:val="both"/>
        <w:rPr>
          <w:rFonts w:ascii="Segoe UI" w:hAnsi="Segoe UI" w:cs="Segoe UI"/>
          <w:color w:val="374151"/>
        </w:rPr>
      </w:pPr>
      <w:r>
        <w:rPr>
          <w:rFonts w:ascii="Segoe UI" w:hAnsi="Segoe UI" w:cs="Segoe UI"/>
          <w:color w:val="374151"/>
        </w:rPr>
        <w:t>Clearing and settlement are essential processes in the operation of a stock exchange. They ensure the smooth and secure transfer of securities and funds between buyers and sellers after a trade has been executed. These processes help mitigate risks, maintain market integrity, and provide confidence to investors. Here's an overview of clearing and settlement in a stock exchange:</w:t>
      </w:r>
    </w:p>
    <w:p w14:paraId="17C909E2" w14:textId="77777777" w:rsidR="00F13FAD" w:rsidRDefault="00F13FAD" w:rsidP="00F13FAD">
      <w:pPr>
        <w:pStyle w:val="NormalWeb"/>
        <w:spacing w:before="300" w:beforeAutospacing="0" w:after="300" w:afterAutospacing="0"/>
        <w:jc w:val="both"/>
        <w:rPr>
          <w:rFonts w:ascii="Segoe UI" w:hAnsi="Segoe UI" w:cs="Segoe UI"/>
          <w:color w:val="374151"/>
        </w:rPr>
      </w:pPr>
      <w:r w:rsidRPr="00745EEA">
        <w:rPr>
          <w:rStyle w:val="Strong"/>
          <w:rFonts w:ascii="Segoe UI" w:hAnsi="Segoe UI" w:cs="Segoe UI"/>
          <w:color w:val="374151"/>
        </w:rPr>
        <w:t>Clearing:</w:t>
      </w:r>
    </w:p>
    <w:p w14:paraId="168CDC46" w14:textId="77777777" w:rsidR="00F13FAD" w:rsidRDefault="00F13FAD" w:rsidP="00F13FAD">
      <w:pPr>
        <w:pStyle w:val="NormalWeb"/>
        <w:numPr>
          <w:ilvl w:val="0"/>
          <w:numId w:val="45"/>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Matching and Confirmation:</w:t>
      </w:r>
      <w:r>
        <w:rPr>
          <w:rFonts w:ascii="Segoe UI" w:hAnsi="Segoe UI" w:cs="Segoe UI"/>
          <w:color w:val="374151"/>
        </w:rPr>
        <w:t xml:space="preserve"> After a trade is executed on the stock exchange, the details of the trade, including the securities, quantity, and price, need to be matched and confirmed by both the buyer and the seller. This step helps ensure that both parties agree on the terms of the trade.</w:t>
      </w:r>
    </w:p>
    <w:p w14:paraId="34EB339C" w14:textId="77777777" w:rsidR="00F13FAD" w:rsidRDefault="00F13FAD" w:rsidP="00F13FAD">
      <w:pPr>
        <w:pStyle w:val="NormalWeb"/>
        <w:numPr>
          <w:ilvl w:val="0"/>
          <w:numId w:val="45"/>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Novation:</w:t>
      </w:r>
      <w:r>
        <w:rPr>
          <w:rFonts w:ascii="Segoe UI" w:hAnsi="Segoe UI" w:cs="Segoe UI"/>
          <w:color w:val="374151"/>
        </w:rPr>
        <w:t xml:space="preserve"> In many stock exchanges, a clearinghouse acts as an intermediary between the buyer and the seller. The clearinghouse becomes the counterparty to both sides of the trade, which is known as novation. Novation reduces counterparty risk because it guarantees the trade's completion even if one party defaults.</w:t>
      </w:r>
    </w:p>
    <w:p w14:paraId="3E27BAC5" w14:textId="77777777" w:rsidR="00F13FAD" w:rsidRDefault="00F13FAD" w:rsidP="00F13FAD">
      <w:pPr>
        <w:pStyle w:val="NormalWeb"/>
        <w:numPr>
          <w:ilvl w:val="0"/>
          <w:numId w:val="45"/>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Netting:</w:t>
      </w:r>
      <w:r>
        <w:rPr>
          <w:rFonts w:ascii="Segoe UI" w:hAnsi="Segoe UI" w:cs="Segoe UI"/>
          <w:color w:val="374151"/>
        </w:rPr>
        <w:t xml:space="preserve"> Clearinghouses often employ a process called netting, where multiple trades involving the same securities are combined into a single net position. This simplifies the settlement process and reduces the number of securities and funds that need to be transferred.</w:t>
      </w:r>
    </w:p>
    <w:p w14:paraId="1534DBE7" w14:textId="77777777" w:rsidR="00F13FAD" w:rsidRDefault="00F13FAD" w:rsidP="00F13FAD">
      <w:pPr>
        <w:pStyle w:val="NormalWeb"/>
        <w:numPr>
          <w:ilvl w:val="0"/>
          <w:numId w:val="45"/>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Margining:</w:t>
      </w:r>
      <w:r>
        <w:rPr>
          <w:rFonts w:ascii="Segoe UI" w:hAnsi="Segoe UI" w:cs="Segoe UI"/>
          <w:color w:val="374151"/>
        </w:rPr>
        <w:t xml:space="preserve"> To mitigate risk, clearinghouses may require traders to post collateral (margin) against their positions. Margin requirements are typically based on the risk associated with the trader's open positions.</w:t>
      </w:r>
    </w:p>
    <w:p w14:paraId="27E4F992" w14:textId="77777777" w:rsidR="00F13FAD" w:rsidRDefault="00F13FAD" w:rsidP="00F13FAD">
      <w:pPr>
        <w:pStyle w:val="NormalWeb"/>
        <w:numPr>
          <w:ilvl w:val="0"/>
          <w:numId w:val="45"/>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Risk Management:</w:t>
      </w:r>
      <w:r>
        <w:rPr>
          <w:rFonts w:ascii="Segoe UI" w:hAnsi="Segoe UI" w:cs="Segoe UI"/>
          <w:color w:val="374151"/>
        </w:rPr>
        <w:t xml:space="preserve"> Clearinghouses monitor and manage risk throughout the trading day. They have procedures in place to handle situations where traders cannot fulfill their obligations.</w:t>
      </w:r>
    </w:p>
    <w:p w14:paraId="164728EA" w14:textId="77777777" w:rsidR="00F13FAD" w:rsidRDefault="00F13FAD" w:rsidP="00F13FAD">
      <w:pPr>
        <w:pStyle w:val="NormalWeb"/>
        <w:spacing w:before="300" w:beforeAutospacing="0" w:after="300" w:afterAutospacing="0"/>
        <w:jc w:val="both"/>
        <w:rPr>
          <w:rFonts w:ascii="Segoe UI" w:hAnsi="Segoe UI" w:cs="Segoe UI"/>
          <w:color w:val="374151"/>
        </w:rPr>
      </w:pPr>
      <w:r w:rsidRPr="00745EEA">
        <w:rPr>
          <w:rStyle w:val="Strong"/>
          <w:rFonts w:ascii="Segoe UI" w:hAnsi="Segoe UI" w:cs="Segoe UI"/>
          <w:color w:val="374151"/>
        </w:rPr>
        <w:t>Settlement:</w:t>
      </w:r>
    </w:p>
    <w:p w14:paraId="42F94870" w14:textId="77777777" w:rsidR="00F13FAD" w:rsidRDefault="00F13FAD" w:rsidP="00F13FAD">
      <w:pPr>
        <w:pStyle w:val="NormalWeb"/>
        <w:numPr>
          <w:ilvl w:val="0"/>
          <w:numId w:val="46"/>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Delivery vs. Payment (DVP):</w:t>
      </w:r>
      <w:r>
        <w:rPr>
          <w:rFonts w:ascii="Segoe UI" w:hAnsi="Segoe UI" w:cs="Segoe UI"/>
          <w:color w:val="374151"/>
        </w:rPr>
        <w:t xml:space="preserve"> In a DVP system, securities and funds are exchanged simultaneously. This means that when the seller delivers the securities, the buyer's payment is also made. DVP reduces the risk of non-delivery or non-payment.</w:t>
      </w:r>
    </w:p>
    <w:p w14:paraId="705CC9B3" w14:textId="77777777" w:rsidR="00F13FAD" w:rsidRDefault="00F13FAD" w:rsidP="00F13FAD">
      <w:pPr>
        <w:pStyle w:val="NormalWeb"/>
        <w:numPr>
          <w:ilvl w:val="0"/>
          <w:numId w:val="46"/>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T+2 Settlement:</w:t>
      </w:r>
      <w:r>
        <w:rPr>
          <w:rFonts w:ascii="Segoe UI" w:hAnsi="Segoe UI" w:cs="Segoe UI"/>
          <w:color w:val="374151"/>
        </w:rPr>
        <w:t xml:space="preserve"> In many stock exchanges, the settlement process typically occurs on the second business day after the trade date (T+2). This allows time for the necessary paperwork, confirmation, and transfer of securities and funds to take place.</w:t>
      </w:r>
    </w:p>
    <w:p w14:paraId="32B2D023" w14:textId="77777777" w:rsidR="00F13FAD" w:rsidRDefault="00F13FAD" w:rsidP="00F13FAD">
      <w:pPr>
        <w:pStyle w:val="NormalWeb"/>
        <w:numPr>
          <w:ilvl w:val="0"/>
          <w:numId w:val="46"/>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Central Securities Depository (CSD):</w:t>
      </w:r>
      <w:r>
        <w:rPr>
          <w:rFonts w:ascii="Segoe UI" w:hAnsi="Segoe UI" w:cs="Segoe UI"/>
          <w:color w:val="374151"/>
        </w:rPr>
        <w:t xml:space="preserve"> Securities are held in electronic form in a central depository, often referred to as a CSD. The CSD maintains records of ownership, making it easier to facilitate transfers and minimize the risk of fraud or loss.</w:t>
      </w:r>
    </w:p>
    <w:p w14:paraId="10E7AF27" w14:textId="77777777" w:rsidR="00F13FAD" w:rsidRDefault="00F13FAD" w:rsidP="00F13FAD">
      <w:pPr>
        <w:pStyle w:val="NormalWeb"/>
        <w:numPr>
          <w:ilvl w:val="0"/>
          <w:numId w:val="46"/>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Payment Systems:</w:t>
      </w:r>
      <w:r>
        <w:rPr>
          <w:rFonts w:ascii="Segoe UI" w:hAnsi="Segoe UI" w:cs="Segoe UI"/>
          <w:color w:val="374151"/>
        </w:rPr>
        <w:t xml:space="preserve"> Stock exchanges typically have payment systems in place to ensure the efficient transfer of funds between buyers and sellers. These systems may involve banks, clearing banks, or payment processors.</w:t>
      </w:r>
    </w:p>
    <w:p w14:paraId="233715E1" w14:textId="77777777" w:rsidR="00F13FAD" w:rsidRDefault="00F13FAD" w:rsidP="00F13FAD">
      <w:pPr>
        <w:pStyle w:val="NormalWeb"/>
        <w:numPr>
          <w:ilvl w:val="0"/>
          <w:numId w:val="46"/>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Confirmation and Settlement Statements:</w:t>
      </w:r>
      <w:r>
        <w:rPr>
          <w:rFonts w:ascii="Segoe UI" w:hAnsi="Segoe UI" w:cs="Segoe UI"/>
          <w:color w:val="374151"/>
        </w:rPr>
        <w:t xml:space="preserve"> After the settlement process is complete, both the buyer and the seller receive confirmation and settlement statements detailing the executed trade, including the securities delivered and the funds transferred.</w:t>
      </w:r>
    </w:p>
    <w:p w14:paraId="134F20BF" w14:textId="77777777" w:rsidR="00F13FAD" w:rsidRDefault="00F13FAD" w:rsidP="00F13FAD">
      <w:pPr>
        <w:pStyle w:val="NormalWeb"/>
        <w:numPr>
          <w:ilvl w:val="0"/>
          <w:numId w:val="46"/>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Finality of Settlement:</w:t>
      </w:r>
      <w:r>
        <w:rPr>
          <w:rFonts w:ascii="Segoe UI" w:hAnsi="Segoe UI" w:cs="Segoe UI"/>
          <w:color w:val="374151"/>
        </w:rPr>
        <w:t xml:space="preserve"> Once settlement is finalized, the trade is considered complete, and ownership of the securities is transferred to the buyer.</w:t>
      </w:r>
    </w:p>
    <w:p w14:paraId="5DA80837" w14:textId="77777777" w:rsidR="00F13FAD" w:rsidRDefault="00F13FAD" w:rsidP="00F13FAD">
      <w:pPr>
        <w:pStyle w:val="NormalWeb"/>
        <w:spacing w:before="300" w:beforeAutospacing="0" w:after="0" w:afterAutospacing="0"/>
        <w:jc w:val="both"/>
        <w:rPr>
          <w:rFonts w:ascii="Segoe UI" w:hAnsi="Segoe UI" w:cs="Segoe UI"/>
          <w:color w:val="374151"/>
        </w:rPr>
      </w:pPr>
      <w:r>
        <w:rPr>
          <w:rFonts w:ascii="Segoe UI" w:hAnsi="Segoe UI" w:cs="Segoe UI"/>
          <w:color w:val="374151"/>
        </w:rPr>
        <w:t>Clearing and settlement processes are critical for maintaining the integrity and stability of the stock market. They help ensure that trades are executed accurately, reduce counterparty risk, and provide investors with confidence in the fairness and security of the market. The specific procedures and regulations governing clearing and settlement may vary by stock exchange and jurisdiction</w:t>
      </w:r>
    </w:p>
    <w:p w14:paraId="1250151A" w14:textId="77777777" w:rsidR="00F13FAD" w:rsidRDefault="00F13FAD" w:rsidP="00F13FAD">
      <w:pPr>
        <w:jc w:val="both"/>
      </w:pPr>
    </w:p>
    <w:p w14:paraId="2546483C" w14:textId="77777777" w:rsidR="00F13FAD" w:rsidRDefault="00F13FAD" w:rsidP="00F13FAD">
      <w:pPr>
        <w:jc w:val="both"/>
      </w:pPr>
      <w:r>
        <w:t>Order Matching</w:t>
      </w:r>
    </w:p>
    <w:p w14:paraId="144DEBB5" w14:textId="77777777" w:rsidR="00F13FAD" w:rsidRDefault="00F13FAD" w:rsidP="00F13FAD">
      <w:pPr>
        <w:pStyle w:val="NormalWeb"/>
        <w:spacing w:before="0" w:beforeAutospacing="0" w:after="300" w:afterAutospacing="0"/>
        <w:jc w:val="both"/>
        <w:rPr>
          <w:rFonts w:ascii="Segoe UI" w:hAnsi="Segoe UI" w:cs="Segoe UI"/>
          <w:color w:val="374151"/>
        </w:rPr>
      </w:pPr>
      <w:r>
        <w:rPr>
          <w:rFonts w:ascii="Segoe UI" w:hAnsi="Segoe UI" w:cs="Segoe UI"/>
          <w:color w:val="374151"/>
        </w:rPr>
        <w:t>Order matching is a crucial process in a stock exchange that facilitates the execution of buy and sell orders. It ensures that trades are conducted fairly, efficiently, and in accordance with the exchange's rules and regulations. Here's how order matching works in a typical stock exchange:</w:t>
      </w:r>
    </w:p>
    <w:p w14:paraId="0C58444A" w14:textId="77777777" w:rsidR="00F13FAD" w:rsidRDefault="00F13FAD" w:rsidP="00F13FAD">
      <w:pPr>
        <w:pStyle w:val="NormalWeb"/>
        <w:numPr>
          <w:ilvl w:val="0"/>
          <w:numId w:val="47"/>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Order Placement:</w:t>
      </w:r>
      <w:r>
        <w:rPr>
          <w:rFonts w:ascii="Segoe UI" w:hAnsi="Segoe UI" w:cs="Segoe UI"/>
          <w:color w:val="374151"/>
        </w:rPr>
        <w:t xml:space="preserve"> Investors and traders place buy and sell orders through their brokerage accounts or trading platforms. These orders specify the quantity of shares, the type of order (e.g., market order, limit order), and the price at which they are willing to buy or sell.</w:t>
      </w:r>
    </w:p>
    <w:p w14:paraId="314093F0" w14:textId="77777777" w:rsidR="00F13FAD" w:rsidRDefault="00F13FAD" w:rsidP="00F13FAD">
      <w:pPr>
        <w:pStyle w:val="NormalWeb"/>
        <w:numPr>
          <w:ilvl w:val="0"/>
          <w:numId w:val="47"/>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Order Routing:</w:t>
      </w:r>
      <w:r>
        <w:rPr>
          <w:rFonts w:ascii="Segoe UI" w:hAnsi="Segoe UI" w:cs="Segoe UI"/>
          <w:color w:val="374151"/>
        </w:rPr>
        <w:t xml:space="preserve"> Once an order is placed, it is sent to the stock exchange's trading system, which processes and matches orders. The order may also go through a brokerage's internal system before reaching the exchange.</w:t>
      </w:r>
    </w:p>
    <w:p w14:paraId="15783BDA" w14:textId="77777777" w:rsidR="00F13FAD" w:rsidRDefault="00F13FAD" w:rsidP="00F13FAD">
      <w:pPr>
        <w:pStyle w:val="NormalWeb"/>
        <w:numPr>
          <w:ilvl w:val="0"/>
          <w:numId w:val="47"/>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Order Queue:</w:t>
      </w:r>
      <w:r>
        <w:rPr>
          <w:rFonts w:ascii="Segoe UI" w:hAnsi="Segoe UI" w:cs="Segoe UI"/>
          <w:color w:val="374151"/>
        </w:rPr>
        <w:t xml:space="preserve"> Orders are typically placed in an order queue, organized based on the price and the time of entry. Within the order queue, orders are sorted from the most competitive (highest bid for buy orders or lowest ask for sell orders) to the least competitive.</w:t>
      </w:r>
    </w:p>
    <w:p w14:paraId="409CCF9F" w14:textId="77777777" w:rsidR="00F13FAD" w:rsidRDefault="00F13FAD" w:rsidP="00F13FAD">
      <w:pPr>
        <w:pStyle w:val="NormalWeb"/>
        <w:numPr>
          <w:ilvl w:val="0"/>
          <w:numId w:val="47"/>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Price-Time Priority:</w:t>
      </w:r>
      <w:r>
        <w:rPr>
          <w:rFonts w:ascii="Segoe UI" w:hAnsi="Segoe UI" w:cs="Segoe UI"/>
          <w:color w:val="374151"/>
        </w:rPr>
        <w:t xml:space="preserve"> Most stock exchanges operate on a price-time priority basis. This means that orders at the same price level are prioritized based on the time they were received, with the earliest orders getting preference.</w:t>
      </w:r>
    </w:p>
    <w:p w14:paraId="5AD5CDCB" w14:textId="77777777" w:rsidR="00F13FAD" w:rsidRDefault="00F13FAD" w:rsidP="00F13FAD">
      <w:pPr>
        <w:pStyle w:val="NormalWeb"/>
        <w:numPr>
          <w:ilvl w:val="0"/>
          <w:numId w:val="47"/>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Order Matching:</w:t>
      </w:r>
      <w:r>
        <w:rPr>
          <w:rFonts w:ascii="Segoe UI" w:hAnsi="Segoe UI" w:cs="Segoe UI"/>
          <w:color w:val="374151"/>
        </w:rPr>
        <w:t xml:space="preserve"> When a new order is received, the stock exchange's trading system compares it with existing orders in the order book. The order matching engine attempts to match the incoming order with one or more existing orders based on the price and time priority.</w:t>
      </w:r>
    </w:p>
    <w:p w14:paraId="5744C614" w14:textId="77777777" w:rsidR="00F13FAD" w:rsidRDefault="00F13FAD" w:rsidP="00F13FAD">
      <w:pPr>
        <w:pStyle w:val="NormalWeb"/>
        <w:numPr>
          <w:ilvl w:val="1"/>
          <w:numId w:val="47"/>
        </w:numPr>
        <w:spacing w:before="0" w:beforeAutospacing="0" w:after="0" w:afterAutospacing="0"/>
        <w:ind w:left="720"/>
        <w:jc w:val="both"/>
        <w:rPr>
          <w:rFonts w:ascii="Segoe UI" w:hAnsi="Segoe UI" w:cs="Segoe UI"/>
          <w:color w:val="374151"/>
        </w:rPr>
      </w:pPr>
      <w:r w:rsidRPr="00745EEA">
        <w:rPr>
          <w:rStyle w:val="Strong"/>
          <w:rFonts w:ascii="Segoe UI" w:hAnsi="Segoe UI" w:cs="Segoe UI"/>
          <w:color w:val="374151"/>
        </w:rPr>
        <w:t>Market Order:</w:t>
      </w:r>
      <w:r>
        <w:rPr>
          <w:rFonts w:ascii="Segoe UI" w:hAnsi="Segoe UI" w:cs="Segoe UI"/>
          <w:color w:val="374151"/>
        </w:rPr>
        <w:t xml:space="preserve"> Market orders are executed immediately at the current market price. They are matched with the best available opposite-side order(s) in the order book.</w:t>
      </w:r>
    </w:p>
    <w:p w14:paraId="046FC53C" w14:textId="77777777" w:rsidR="00F13FAD" w:rsidRDefault="00F13FAD" w:rsidP="00F13FAD">
      <w:pPr>
        <w:pStyle w:val="NormalWeb"/>
        <w:numPr>
          <w:ilvl w:val="1"/>
          <w:numId w:val="47"/>
        </w:numPr>
        <w:spacing w:before="0" w:beforeAutospacing="0" w:after="0" w:afterAutospacing="0"/>
        <w:ind w:left="720"/>
        <w:jc w:val="both"/>
        <w:rPr>
          <w:rFonts w:ascii="Segoe UI" w:hAnsi="Segoe UI" w:cs="Segoe UI"/>
          <w:color w:val="374151"/>
        </w:rPr>
      </w:pPr>
      <w:r w:rsidRPr="00745EEA">
        <w:rPr>
          <w:rStyle w:val="Strong"/>
          <w:rFonts w:ascii="Segoe UI" w:hAnsi="Segoe UI" w:cs="Segoe UI"/>
          <w:color w:val="374151"/>
        </w:rPr>
        <w:t>Limit Order:</w:t>
      </w:r>
      <w:r>
        <w:rPr>
          <w:rFonts w:ascii="Segoe UI" w:hAnsi="Segoe UI" w:cs="Segoe UI"/>
          <w:color w:val="374151"/>
        </w:rPr>
        <w:t xml:space="preserve"> Limit orders are executed at a specific price or better. For a buy limit order, it must be matched with a sell order at or below the specified price, and for a sell limit order, it must be matched with a buy order at or above the specified price.</w:t>
      </w:r>
    </w:p>
    <w:p w14:paraId="4EEE4BB7" w14:textId="77777777" w:rsidR="00F13FAD" w:rsidRDefault="00F13FAD" w:rsidP="00F13FAD">
      <w:pPr>
        <w:pStyle w:val="NormalWeb"/>
        <w:numPr>
          <w:ilvl w:val="1"/>
          <w:numId w:val="47"/>
        </w:numPr>
        <w:spacing w:before="0" w:beforeAutospacing="0" w:after="0" w:afterAutospacing="0"/>
        <w:ind w:left="720"/>
        <w:jc w:val="both"/>
        <w:rPr>
          <w:rFonts w:ascii="Segoe UI" w:hAnsi="Segoe UI" w:cs="Segoe UI"/>
          <w:color w:val="374151"/>
        </w:rPr>
      </w:pPr>
      <w:r w:rsidRPr="00745EEA">
        <w:rPr>
          <w:rStyle w:val="Strong"/>
          <w:rFonts w:ascii="Segoe UI" w:hAnsi="Segoe UI" w:cs="Segoe UI"/>
          <w:color w:val="374151"/>
        </w:rPr>
        <w:t>Stop Order:</w:t>
      </w:r>
      <w:r>
        <w:rPr>
          <w:rFonts w:ascii="Segoe UI" w:hAnsi="Segoe UI" w:cs="Segoe UI"/>
          <w:color w:val="374151"/>
        </w:rPr>
        <w:t xml:space="preserve"> Stop orders become market orders when a certain price condition is met. Once triggered, they are matched at the best available market price.</w:t>
      </w:r>
    </w:p>
    <w:p w14:paraId="26DB78CF" w14:textId="77777777" w:rsidR="00F13FAD" w:rsidRDefault="00F13FAD" w:rsidP="00F13FAD">
      <w:pPr>
        <w:pStyle w:val="NormalWeb"/>
        <w:numPr>
          <w:ilvl w:val="0"/>
          <w:numId w:val="47"/>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Partial or Full Execution:</w:t>
      </w:r>
      <w:r>
        <w:rPr>
          <w:rFonts w:ascii="Segoe UI" w:hAnsi="Segoe UI" w:cs="Segoe UI"/>
          <w:color w:val="374151"/>
        </w:rPr>
        <w:t xml:space="preserve"> An order may be partially executed if there are not enough matching orders in the order book to fill the entire order quantity. The remaining portion of the order remains in the order book until further matching opportunities arise or the order is canceled.</w:t>
      </w:r>
    </w:p>
    <w:p w14:paraId="4CB6620F" w14:textId="77777777" w:rsidR="00F13FAD" w:rsidRDefault="00F13FAD" w:rsidP="00F13FAD">
      <w:pPr>
        <w:pStyle w:val="NormalWeb"/>
        <w:numPr>
          <w:ilvl w:val="0"/>
          <w:numId w:val="47"/>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Trade Confirmation:</w:t>
      </w:r>
      <w:r>
        <w:rPr>
          <w:rFonts w:ascii="Segoe UI" w:hAnsi="Segoe UI" w:cs="Segoe UI"/>
          <w:color w:val="374151"/>
        </w:rPr>
        <w:t xml:space="preserve"> After the order matching process is completed, a trade is confirmed, and details are disseminated to the parties involved, including the buyer, seller, and their respective brokerage firms.</w:t>
      </w:r>
    </w:p>
    <w:p w14:paraId="0BDCB085" w14:textId="77777777" w:rsidR="00F13FAD" w:rsidRDefault="00F13FAD" w:rsidP="00F13FAD">
      <w:pPr>
        <w:pStyle w:val="NormalWeb"/>
        <w:numPr>
          <w:ilvl w:val="0"/>
          <w:numId w:val="47"/>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Continuous Process:</w:t>
      </w:r>
      <w:r>
        <w:rPr>
          <w:rFonts w:ascii="Segoe UI" w:hAnsi="Segoe UI" w:cs="Segoe UI"/>
          <w:color w:val="374151"/>
        </w:rPr>
        <w:t xml:space="preserve"> Order matching is an ongoing process that occurs continuously throughout the trading day as new orders are received and matched with existing orders. This process helps maintain liquidity and price discovery in the market.</w:t>
      </w:r>
    </w:p>
    <w:p w14:paraId="2C6C9457" w14:textId="77777777" w:rsidR="00F13FAD" w:rsidRDefault="00F13FAD" w:rsidP="00F13FAD">
      <w:pPr>
        <w:pStyle w:val="NormalWeb"/>
        <w:numPr>
          <w:ilvl w:val="0"/>
          <w:numId w:val="47"/>
        </w:numPr>
        <w:spacing w:before="0" w:beforeAutospacing="0" w:after="0" w:afterAutospacing="0"/>
        <w:ind w:left="0"/>
        <w:jc w:val="both"/>
        <w:rPr>
          <w:rFonts w:ascii="Segoe UI" w:hAnsi="Segoe UI" w:cs="Segoe UI"/>
          <w:color w:val="374151"/>
        </w:rPr>
      </w:pPr>
      <w:r w:rsidRPr="00745EEA">
        <w:rPr>
          <w:rStyle w:val="Strong"/>
          <w:rFonts w:ascii="Segoe UI" w:hAnsi="Segoe UI" w:cs="Segoe UI"/>
          <w:color w:val="374151"/>
        </w:rPr>
        <w:t>Regulatory Oversight:</w:t>
      </w:r>
      <w:r>
        <w:rPr>
          <w:rFonts w:ascii="Segoe UI" w:hAnsi="Segoe UI" w:cs="Segoe UI"/>
          <w:color w:val="374151"/>
        </w:rPr>
        <w:t xml:space="preserve"> Stock exchanges are closely regulated, and the order matching process must adhere to specific rules and regulations to ensure transparency, fairness, and investor protection.</w:t>
      </w:r>
    </w:p>
    <w:p w14:paraId="5C83A605" w14:textId="77777777" w:rsidR="00F13FAD" w:rsidRDefault="00F13FAD" w:rsidP="00F13FAD">
      <w:pPr>
        <w:pStyle w:val="NormalWeb"/>
        <w:spacing w:before="300" w:beforeAutospacing="0" w:after="0" w:afterAutospacing="0"/>
        <w:jc w:val="both"/>
        <w:rPr>
          <w:rFonts w:ascii="Segoe UI" w:hAnsi="Segoe UI" w:cs="Segoe UI"/>
          <w:color w:val="374151"/>
        </w:rPr>
      </w:pPr>
      <w:r>
        <w:rPr>
          <w:rFonts w:ascii="Segoe UI" w:hAnsi="Segoe UI" w:cs="Segoe UI"/>
          <w:color w:val="374151"/>
        </w:rPr>
        <w:t>Order matching is a critical function of a stock exchange, as it ensures that buyers and sellers can transact in a fair and orderly manner. It contributes to price efficiency and market liquidity, making it a fundamental component of the financial markets</w:t>
      </w:r>
    </w:p>
    <w:p w14:paraId="4184F48B" w14:textId="77777777" w:rsidR="00F13FAD" w:rsidRPr="00397F2D" w:rsidRDefault="00F13FAD" w:rsidP="00F13FAD">
      <w:pPr>
        <w:jc w:val="both"/>
      </w:pPr>
    </w:p>
    <w:p w14:paraId="20FCA557" w14:textId="77777777" w:rsidR="00F13FAD"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bookmarkStart w:id="0" w:name="_GoBack"/>
      <w:bookmarkEnd w:id="0"/>
    </w:p>
    <w:p w14:paraId="54738B9A" w14:textId="77777777" w:rsidR="00F13FAD" w:rsidRPr="00A35096" w:rsidRDefault="00F13FAD" w:rsidP="0051126A">
      <w:pPr>
        <w:shd w:val="clear" w:color="auto" w:fill="FFFFFF"/>
        <w:spacing w:after="150" w:line="360" w:lineRule="atLeast"/>
        <w:jc w:val="both"/>
        <w:rPr>
          <w:rFonts w:ascii="Arial" w:eastAsia="Times New Roman" w:hAnsi="Arial" w:cs="Arial"/>
          <w:color w:val="000000"/>
          <w:sz w:val="23"/>
          <w:szCs w:val="23"/>
          <w:lang w:val="en-IN" w:eastAsia="en-IN"/>
        </w:rPr>
      </w:pPr>
    </w:p>
    <w:p w14:paraId="0B85D9CD" w14:textId="77777777" w:rsidR="00A35096" w:rsidRDefault="00A35096" w:rsidP="00A35096"/>
    <w:sectPr w:rsidR="00A3509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altName w:val="Arial"/>
    <w:charset w:val="01"/>
    <w:family w:val="auto"/>
    <w:pitch w:val="variable"/>
  </w:font>
  <w:font w:name="Roboto Cn">
    <w:altName w:val="Arial"/>
    <w:charset w:val="01"/>
    <w:family w:val="auto"/>
    <w:pitch w:val="variable"/>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KaTeX_Math">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AC54F1"/>
    <w:multiLevelType w:val="multilevel"/>
    <w:tmpl w:val="BD7CE8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49339C"/>
    <w:multiLevelType w:val="multilevel"/>
    <w:tmpl w:val="40185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A6596C"/>
    <w:multiLevelType w:val="multilevel"/>
    <w:tmpl w:val="8E1E8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83B6501"/>
    <w:multiLevelType w:val="multilevel"/>
    <w:tmpl w:val="2586C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157A61"/>
    <w:multiLevelType w:val="hybridMultilevel"/>
    <w:tmpl w:val="35FEBED0"/>
    <w:lvl w:ilvl="0" w:tplc="E9282930">
      <w:start w:val="1"/>
      <w:numFmt w:val="lowerRoman"/>
      <w:lvlText w:val="(%1)"/>
      <w:lvlJc w:val="left"/>
      <w:pPr>
        <w:ind w:left="470" w:hanging="331"/>
        <w:jc w:val="left"/>
      </w:pPr>
      <w:rPr>
        <w:rFonts w:ascii="Roboto" w:eastAsia="Roboto" w:hAnsi="Roboto" w:cs="Roboto" w:hint="default"/>
        <w:i/>
        <w:iCs/>
        <w:spacing w:val="-1"/>
        <w:w w:val="96"/>
        <w:sz w:val="28"/>
        <w:szCs w:val="28"/>
        <w:lang w:val="en-US" w:eastAsia="en-US" w:bidi="ar-SA"/>
      </w:rPr>
    </w:lvl>
    <w:lvl w:ilvl="1" w:tplc="9F12E10C">
      <w:numFmt w:val="bullet"/>
      <w:lvlText w:val="•"/>
      <w:lvlJc w:val="left"/>
      <w:pPr>
        <w:ind w:left="1398" w:hanging="331"/>
      </w:pPr>
      <w:rPr>
        <w:rFonts w:hint="default"/>
        <w:lang w:val="en-US" w:eastAsia="en-US" w:bidi="ar-SA"/>
      </w:rPr>
    </w:lvl>
    <w:lvl w:ilvl="2" w:tplc="1F1E1924">
      <w:numFmt w:val="bullet"/>
      <w:lvlText w:val="•"/>
      <w:lvlJc w:val="left"/>
      <w:pPr>
        <w:ind w:left="2316" w:hanging="331"/>
      </w:pPr>
      <w:rPr>
        <w:rFonts w:hint="default"/>
        <w:lang w:val="en-US" w:eastAsia="en-US" w:bidi="ar-SA"/>
      </w:rPr>
    </w:lvl>
    <w:lvl w:ilvl="3" w:tplc="EC1691F2">
      <w:numFmt w:val="bullet"/>
      <w:lvlText w:val="•"/>
      <w:lvlJc w:val="left"/>
      <w:pPr>
        <w:ind w:left="3234" w:hanging="331"/>
      </w:pPr>
      <w:rPr>
        <w:rFonts w:hint="default"/>
        <w:lang w:val="en-US" w:eastAsia="en-US" w:bidi="ar-SA"/>
      </w:rPr>
    </w:lvl>
    <w:lvl w:ilvl="4" w:tplc="6D8C239E">
      <w:numFmt w:val="bullet"/>
      <w:lvlText w:val="•"/>
      <w:lvlJc w:val="left"/>
      <w:pPr>
        <w:ind w:left="4152" w:hanging="331"/>
      </w:pPr>
      <w:rPr>
        <w:rFonts w:hint="default"/>
        <w:lang w:val="en-US" w:eastAsia="en-US" w:bidi="ar-SA"/>
      </w:rPr>
    </w:lvl>
    <w:lvl w:ilvl="5" w:tplc="EBD4D79E">
      <w:numFmt w:val="bullet"/>
      <w:lvlText w:val="•"/>
      <w:lvlJc w:val="left"/>
      <w:pPr>
        <w:ind w:left="5070" w:hanging="331"/>
      </w:pPr>
      <w:rPr>
        <w:rFonts w:hint="default"/>
        <w:lang w:val="en-US" w:eastAsia="en-US" w:bidi="ar-SA"/>
      </w:rPr>
    </w:lvl>
    <w:lvl w:ilvl="6" w:tplc="7F405FD8">
      <w:numFmt w:val="bullet"/>
      <w:lvlText w:val="•"/>
      <w:lvlJc w:val="left"/>
      <w:pPr>
        <w:ind w:left="5988" w:hanging="331"/>
      </w:pPr>
      <w:rPr>
        <w:rFonts w:hint="default"/>
        <w:lang w:val="en-US" w:eastAsia="en-US" w:bidi="ar-SA"/>
      </w:rPr>
    </w:lvl>
    <w:lvl w:ilvl="7" w:tplc="4D705586">
      <w:numFmt w:val="bullet"/>
      <w:lvlText w:val="•"/>
      <w:lvlJc w:val="left"/>
      <w:pPr>
        <w:ind w:left="6906" w:hanging="331"/>
      </w:pPr>
      <w:rPr>
        <w:rFonts w:hint="default"/>
        <w:lang w:val="en-US" w:eastAsia="en-US" w:bidi="ar-SA"/>
      </w:rPr>
    </w:lvl>
    <w:lvl w:ilvl="8" w:tplc="702CBDF2">
      <w:numFmt w:val="bullet"/>
      <w:lvlText w:val="•"/>
      <w:lvlJc w:val="left"/>
      <w:pPr>
        <w:ind w:left="7824" w:hanging="331"/>
      </w:pPr>
      <w:rPr>
        <w:rFonts w:hint="default"/>
        <w:lang w:val="en-US" w:eastAsia="en-US" w:bidi="ar-SA"/>
      </w:rPr>
    </w:lvl>
  </w:abstractNum>
  <w:abstractNum w:abstractNumId="5" w15:restartNumberingAfterBreak="0">
    <w:nsid w:val="0AC314F4"/>
    <w:multiLevelType w:val="multilevel"/>
    <w:tmpl w:val="271A5A7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CD6322E"/>
    <w:multiLevelType w:val="multilevel"/>
    <w:tmpl w:val="A1384CB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EDF31ED"/>
    <w:multiLevelType w:val="multilevel"/>
    <w:tmpl w:val="2B2C88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7E13C8A"/>
    <w:multiLevelType w:val="multilevel"/>
    <w:tmpl w:val="93465F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85A6968"/>
    <w:multiLevelType w:val="multilevel"/>
    <w:tmpl w:val="2E0CC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AC53744"/>
    <w:multiLevelType w:val="multilevel"/>
    <w:tmpl w:val="F2F67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B03F90"/>
    <w:multiLevelType w:val="multilevel"/>
    <w:tmpl w:val="89A28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5EB69BC"/>
    <w:multiLevelType w:val="multilevel"/>
    <w:tmpl w:val="443E95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B022FB0"/>
    <w:multiLevelType w:val="multilevel"/>
    <w:tmpl w:val="560C9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3A216B5"/>
    <w:multiLevelType w:val="multilevel"/>
    <w:tmpl w:val="B3B018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5274E69"/>
    <w:multiLevelType w:val="multilevel"/>
    <w:tmpl w:val="AFB41A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6686645"/>
    <w:multiLevelType w:val="multilevel"/>
    <w:tmpl w:val="4FFCF7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6DE1DA1"/>
    <w:multiLevelType w:val="multilevel"/>
    <w:tmpl w:val="9CE23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8D27EC7"/>
    <w:multiLevelType w:val="multilevel"/>
    <w:tmpl w:val="BAD40D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F4160A2"/>
    <w:multiLevelType w:val="multilevel"/>
    <w:tmpl w:val="E45C3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35D124A"/>
    <w:multiLevelType w:val="multilevel"/>
    <w:tmpl w:val="B13CDD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407095D"/>
    <w:multiLevelType w:val="multilevel"/>
    <w:tmpl w:val="A8F8C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71531B6"/>
    <w:multiLevelType w:val="hybridMultilevel"/>
    <w:tmpl w:val="86CA6270"/>
    <w:lvl w:ilvl="0" w:tplc="D41817B4">
      <w:start w:val="3"/>
      <w:numFmt w:val="decimal"/>
      <w:lvlText w:val="%1."/>
      <w:lvlJc w:val="left"/>
      <w:pPr>
        <w:ind w:left="445" w:hanging="306"/>
        <w:jc w:val="left"/>
      </w:pPr>
      <w:rPr>
        <w:rFonts w:ascii="Roboto Cn" w:eastAsia="Roboto Cn" w:hAnsi="Roboto Cn" w:cs="Roboto Cn" w:hint="default"/>
        <w:b/>
        <w:bCs/>
        <w:i/>
        <w:iCs/>
        <w:spacing w:val="0"/>
        <w:w w:val="99"/>
        <w:sz w:val="28"/>
        <w:szCs w:val="28"/>
        <w:lang w:val="en-US" w:eastAsia="en-US" w:bidi="ar-SA"/>
      </w:rPr>
    </w:lvl>
    <w:lvl w:ilvl="1" w:tplc="A030CC82">
      <w:numFmt w:val="bullet"/>
      <w:lvlText w:val="•"/>
      <w:lvlJc w:val="left"/>
      <w:pPr>
        <w:ind w:left="1362" w:hanging="306"/>
      </w:pPr>
      <w:rPr>
        <w:rFonts w:hint="default"/>
        <w:lang w:val="en-US" w:eastAsia="en-US" w:bidi="ar-SA"/>
      </w:rPr>
    </w:lvl>
    <w:lvl w:ilvl="2" w:tplc="17EC1322">
      <w:numFmt w:val="bullet"/>
      <w:lvlText w:val="•"/>
      <w:lvlJc w:val="left"/>
      <w:pPr>
        <w:ind w:left="2284" w:hanging="306"/>
      </w:pPr>
      <w:rPr>
        <w:rFonts w:hint="default"/>
        <w:lang w:val="en-US" w:eastAsia="en-US" w:bidi="ar-SA"/>
      </w:rPr>
    </w:lvl>
    <w:lvl w:ilvl="3" w:tplc="6E74C658">
      <w:numFmt w:val="bullet"/>
      <w:lvlText w:val="•"/>
      <w:lvlJc w:val="left"/>
      <w:pPr>
        <w:ind w:left="3206" w:hanging="306"/>
      </w:pPr>
      <w:rPr>
        <w:rFonts w:hint="default"/>
        <w:lang w:val="en-US" w:eastAsia="en-US" w:bidi="ar-SA"/>
      </w:rPr>
    </w:lvl>
    <w:lvl w:ilvl="4" w:tplc="9FF022D4">
      <w:numFmt w:val="bullet"/>
      <w:lvlText w:val="•"/>
      <w:lvlJc w:val="left"/>
      <w:pPr>
        <w:ind w:left="4128" w:hanging="306"/>
      </w:pPr>
      <w:rPr>
        <w:rFonts w:hint="default"/>
        <w:lang w:val="en-US" w:eastAsia="en-US" w:bidi="ar-SA"/>
      </w:rPr>
    </w:lvl>
    <w:lvl w:ilvl="5" w:tplc="8206A410">
      <w:numFmt w:val="bullet"/>
      <w:lvlText w:val="•"/>
      <w:lvlJc w:val="left"/>
      <w:pPr>
        <w:ind w:left="5050" w:hanging="306"/>
      </w:pPr>
      <w:rPr>
        <w:rFonts w:hint="default"/>
        <w:lang w:val="en-US" w:eastAsia="en-US" w:bidi="ar-SA"/>
      </w:rPr>
    </w:lvl>
    <w:lvl w:ilvl="6" w:tplc="70829CCE">
      <w:numFmt w:val="bullet"/>
      <w:lvlText w:val="•"/>
      <w:lvlJc w:val="left"/>
      <w:pPr>
        <w:ind w:left="5972" w:hanging="306"/>
      </w:pPr>
      <w:rPr>
        <w:rFonts w:hint="default"/>
        <w:lang w:val="en-US" w:eastAsia="en-US" w:bidi="ar-SA"/>
      </w:rPr>
    </w:lvl>
    <w:lvl w:ilvl="7" w:tplc="33ACA29C">
      <w:numFmt w:val="bullet"/>
      <w:lvlText w:val="•"/>
      <w:lvlJc w:val="left"/>
      <w:pPr>
        <w:ind w:left="6894" w:hanging="306"/>
      </w:pPr>
      <w:rPr>
        <w:rFonts w:hint="default"/>
        <w:lang w:val="en-US" w:eastAsia="en-US" w:bidi="ar-SA"/>
      </w:rPr>
    </w:lvl>
    <w:lvl w:ilvl="8" w:tplc="DFD462C8">
      <w:numFmt w:val="bullet"/>
      <w:lvlText w:val="•"/>
      <w:lvlJc w:val="left"/>
      <w:pPr>
        <w:ind w:left="7816" w:hanging="306"/>
      </w:pPr>
      <w:rPr>
        <w:rFonts w:hint="default"/>
        <w:lang w:val="en-US" w:eastAsia="en-US" w:bidi="ar-SA"/>
      </w:rPr>
    </w:lvl>
  </w:abstractNum>
  <w:abstractNum w:abstractNumId="23" w15:restartNumberingAfterBreak="0">
    <w:nsid w:val="473321E7"/>
    <w:multiLevelType w:val="multilevel"/>
    <w:tmpl w:val="BA14226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73F0BC7"/>
    <w:multiLevelType w:val="multilevel"/>
    <w:tmpl w:val="1C961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9335ECF"/>
    <w:multiLevelType w:val="multilevel"/>
    <w:tmpl w:val="FADA0F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1B259AB"/>
    <w:multiLevelType w:val="multilevel"/>
    <w:tmpl w:val="5E486D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243259E"/>
    <w:multiLevelType w:val="hybridMultilevel"/>
    <w:tmpl w:val="BD9812EA"/>
    <w:lvl w:ilvl="0" w:tplc="E8687412">
      <w:start w:val="1"/>
      <w:numFmt w:val="lowerRoman"/>
      <w:lvlText w:val="(%1)"/>
      <w:lvlJc w:val="left"/>
      <w:pPr>
        <w:ind w:left="408" w:hanging="269"/>
        <w:jc w:val="left"/>
      </w:pPr>
      <w:rPr>
        <w:rFonts w:ascii="Roboto Cn" w:eastAsia="Roboto Cn" w:hAnsi="Roboto Cn" w:cs="Roboto Cn" w:hint="default"/>
        <w:b/>
        <w:bCs/>
        <w:i/>
        <w:iCs/>
        <w:spacing w:val="1"/>
        <w:w w:val="100"/>
        <w:sz w:val="26"/>
        <w:szCs w:val="26"/>
        <w:lang w:val="en-US" w:eastAsia="en-US" w:bidi="ar-SA"/>
      </w:rPr>
    </w:lvl>
    <w:lvl w:ilvl="1" w:tplc="3EF8FB6A">
      <w:numFmt w:val="bullet"/>
      <w:lvlText w:val="•"/>
      <w:lvlJc w:val="left"/>
      <w:pPr>
        <w:ind w:left="1326" w:hanging="269"/>
      </w:pPr>
      <w:rPr>
        <w:rFonts w:hint="default"/>
        <w:lang w:val="en-US" w:eastAsia="en-US" w:bidi="ar-SA"/>
      </w:rPr>
    </w:lvl>
    <w:lvl w:ilvl="2" w:tplc="9622393E">
      <w:numFmt w:val="bullet"/>
      <w:lvlText w:val="•"/>
      <w:lvlJc w:val="left"/>
      <w:pPr>
        <w:ind w:left="2252" w:hanging="269"/>
      </w:pPr>
      <w:rPr>
        <w:rFonts w:hint="default"/>
        <w:lang w:val="en-US" w:eastAsia="en-US" w:bidi="ar-SA"/>
      </w:rPr>
    </w:lvl>
    <w:lvl w:ilvl="3" w:tplc="6A524A34">
      <w:numFmt w:val="bullet"/>
      <w:lvlText w:val="•"/>
      <w:lvlJc w:val="left"/>
      <w:pPr>
        <w:ind w:left="3178" w:hanging="269"/>
      </w:pPr>
      <w:rPr>
        <w:rFonts w:hint="default"/>
        <w:lang w:val="en-US" w:eastAsia="en-US" w:bidi="ar-SA"/>
      </w:rPr>
    </w:lvl>
    <w:lvl w:ilvl="4" w:tplc="1E46AA26">
      <w:numFmt w:val="bullet"/>
      <w:lvlText w:val="•"/>
      <w:lvlJc w:val="left"/>
      <w:pPr>
        <w:ind w:left="4104" w:hanging="269"/>
      </w:pPr>
      <w:rPr>
        <w:rFonts w:hint="default"/>
        <w:lang w:val="en-US" w:eastAsia="en-US" w:bidi="ar-SA"/>
      </w:rPr>
    </w:lvl>
    <w:lvl w:ilvl="5" w:tplc="E452CF24">
      <w:numFmt w:val="bullet"/>
      <w:lvlText w:val="•"/>
      <w:lvlJc w:val="left"/>
      <w:pPr>
        <w:ind w:left="5030" w:hanging="269"/>
      </w:pPr>
      <w:rPr>
        <w:rFonts w:hint="default"/>
        <w:lang w:val="en-US" w:eastAsia="en-US" w:bidi="ar-SA"/>
      </w:rPr>
    </w:lvl>
    <w:lvl w:ilvl="6" w:tplc="50762552">
      <w:numFmt w:val="bullet"/>
      <w:lvlText w:val="•"/>
      <w:lvlJc w:val="left"/>
      <w:pPr>
        <w:ind w:left="5956" w:hanging="269"/>
      </w:pPr>
      <w:rPr>
        <w:rFonts w:hint="default"/>
        <w:lang w:val="en-US" w:eastAsia="en-US" w:bidi="ar-SA"/>
      </w:rPr>
    </w:lvl>
    <w:lvl w:ilvl="7" w:tplc="1D2C94F8">
      <w:numFmt w:val="bullet"/>
      <w:lvlText w:val="•"/>
      <w:lvlJc w:val="left"/>
      <w:pPr>
        <w:ind w:left="6882" w:hanging="269"/>
      </w:pPr>
      <w:rPr>
        <w:rFonts w:hint="default"/>
        <w:lang w:val="en-US" w:eastAsia="en-US" w:bidi="ar-SA"/>
      </w:rPr>
    </w:lvl>
    <w:lvl w:ilvl="8" w:tplc="5FFA6C12">
      <w:numFmt w:val="bullet"/>
      <w:lvlText w:val="•"/>
      <w:lvlJc w:val="left"/>
      <w:pPr>
        <w:ind w:left="7808" w:hanging="269"/>
      </w:pPr>
      <w:rPr>
        <w:rFonts w:hint="default"/>
        <w:lang w:val="en-US" w:eastAsia="en-US" w:bidi="ar-SA"/>
      </w:rPr>
    </w:lvl>
  </w:abstractNum>
  <w:abstractNum w:abstractNumId="28" w15:restartNumberingAfterBreak="0">
    <w:nsid w:val="5D0A02B0"/>
    <w:multiLevelType w:val="multilevel"/>
    <w:tmpl w:val="842CF5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DD03CB7"/>
    <w:multiLevelType w:val="multilevel"/>
    <w:tmpl w:val="D8D85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2A94984"/>
    <w:multiLevelType w:val="multilevel"/>
    <w:tmpl w:val="2F5C2C7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3D40F7C"/>
    <w:multiLevelType w:val="multilevel"/>
    <w:tmpl w:val="5C14F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55E0517"/>
    <w:multiLevelType w:val="multilevel"/>
    <w:tmpl w:val="049C46C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62E426E"/>
    <w:multiLevelType w:val="multilevel"/>
    <w:tmpl w:val="4EA4771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CBC41B6"/>
    <w:multiLevelType w:val="multilevel"/>
    <w:tmpl w:val="4EDCD9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00A03EB"/>
    <w:multiLevelType w:val="multilevel"/>
    <w:tmpl w:val="179651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03900D1"/>
    <w:multiLevelType w:val="hybridMultilevel"/>
    <w:tmpl w:val="6084411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7" w15:restartNumberingAfterBreak="0">
    <w:nsid w:val="72352889"/>
    <w:multiLevelType w:val="multilevel"/>
    <w:tmpl w:val="AFDC181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34200AD"/>
    <w:multiLevelType w:val="multilevel"/>
    <w:tmpl w:val="5568F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61859A2"/>
    <w:multiLevelType w:val="hybridMultilevel"/>
    <w:tmpl w:val="C21AE878"/>
    <w:lvl w:ilvl="0" w:tplc="DA324E0A">
      <w:start w:val="1"/>
      <w:numFmt w:val="lowerRoman"/>
      <w:lvlText w:val="(%1)"/>
      <w:lvlJc w:val="left"/>
      <w:pPr>
        <w:ind w:left="140" w:hanging="349"/>
      </w:pPr>
      <w:rPr>
        <w:rFonts w:ascii="Roboto" w:eastAsia="Roboto" w:hAnsi="Roboto" w:cs="Roboto" w:hint="default"/>
        <w:i/>
        <w:iCs/>
        <w:spacing w:val="-1"/>
        <w:w w:val="96"/>
        <w:sz w:val="28"/>
        <w:szCs w:val="28"/>
        <w:lang w:val="en-US" w:eastAsia="en-US" w:bidi="ar-SA"/>
      </w:rPr>
    </w:lvl>
    <w:lvl w:ilvl="1" w:tplc="34BEBCEA">
      <w:start w:val="1"/>
      <w:numFmt w:val="decimal"/>
      <w:lvlText w:val="%2."/>
      <w:lvlJc w:val="left"/>
      <w:pPr>
        <w:ind w:left="860" w:hanging="360"/>
      </w:pPr>
      <w:rPr>
        <w:rFonts w:ascii="Roboto Cn" w:eastAsia="Roboto Cn" w:hAnsi="Roboto Cn" w:cs="Roboto Cn" w:hint="default"/>
        <w:b/>
        <w:bCs/>
        <w:i/>
        <w:iCs/>
        <w:spacing w:val="0"/>
        <w:w w:val="99"/>
        <w:sz w:val="28"/>
        <w:szCs w:val="28"/>
        <w:lang w:val="en-US" w:eastAsia="en-US" w:bidi="ar-SA"/>
      </w:rPr>
    </w:lvl>
    <w:lvl w:ilvl="2" w:tplc="137A9F0C">
      <w:numFmt w:val="bullet"/>
      <w:lvlText w:val="•"/>
      <w:lvlJc w:val="left"/>
      <w:pPr>
        <w:ind w:left="1837" w:hanging="360"/>
      </w:pPr>
      <w:rPr>
        <w:rFonts w:hint="default"/>
        <w:lang w:val="en-US" w:eastAsia="en-US" w:bidi="ar-SA"/>
      </w:rPr>
    </w:lvl>
    <w:lvl w:ilvl="3" w:tplc="1138CE82">
      <w:numFmt w:val="bullet"/>
      <w:lvlText w:val="•"/>
      <w:lvlJc w:val="left"/>
      <w:pPr>
        <w:ind w:left="2815" w:hanging="360"/>
      </w:pPr>
      <w:rPr>
        <w:rFonts w:hint="default"/>
        <w:lang w:val="en-US" w:eastAsia="en-US" w:bidi="ar-SA"/>
      </w:rPr>
    </w:lvl>
    <w:lvl w:ilvl="4" w:tplc="0BD8A374">
      <w:numFmt w:val="bullet"/>
      <w:lvlText w:val="•"/>
      <w:lvlJc w:val="left"/>
      <w:pPr>
        <w:ind w:left="3793" w:hanging="360"/>
      </w:pPr>
      <w:rPr>
        <w:rFonts w:hint="default"/>
        <w:lang w:val="en-US" w:eastAsia="en-US" w:bidi="ar-SA"/>
      </w:rPr>
    </w:lvl>
    <w:lvl w:ilvl="5" w:tplc="160C35E6">
      <w:numFmt w:val="bullet"/>
      <w:lvlText w:val="•"/>
      <w:lvlJc w:val="left"/>
      <w:pPr>
        <w:ind w:left="4771" w:hanging="360"/>
      </w:pPr>
      <w:rPr>
        <w:rFonts w:hint="default"/>
        <w:lang w:val="en-US" w:eastAsia="en-US" w:bidi="ar-SA"/>
      </w:rPr>
    </w:lvl>
    <w:lvl w:ilvl="6" w:tplc="12580D00">
      <w:numFmt w:val="bullet"/>
      <w:lvlText w:val="•"/>
      <w:lvlJc w:val="left"/>
      <w:pPr>
        <w:ind w:left="5748" w:hanging="360"/>
      </w:pPr>
      <w:rPr>
        <w:rFonts w:hint="default"/>
        <w:lang w:val="en-US" w:eastAsia="en-US" w:bidi="ar-SA"/>
      </w:rPr>
    </w:lvl>
    <w:lvl w:ilvl="7" w:tplc="F7F4DC1C">
      <w:numFmt w:val="bullet"/>
      <w:lvlText w:val="•"/>
      <w:lvlJc w:val="left"/>
      <w:pPr>
        <w:ind w:left="6726" w:hanging="360"/>
      </w:pPr>
      <w:rPr>
        <w:rFonts w:hint="default"/>
        <w:lang w:val="en-US" w:eastAsia="en-US" w:bidi="ar-SA"/>
      </w:rPr>
    </w:lvl>
    <w:lvl w:ilvl="8" w:tplc="B6406D74">
      <w:numFmt w:val="bullet"/>
      <w:lvlText w:val="•"/>
      <w:lvlJc w:val="left"/>
      <w:pPr>
        <w:ind w:left="7704" w:hanging="360"/>
      </w:pPr>
      <w:rPr>
        <w:rFonts w:hint="default"/>
        <w:lang w:val="en-US" w:eastAsia="en-US" w:bidi="ar-SA"/>
      </w:rPr>
    </w:lvl>
  </w:abstractNum>
  <w:abstractNum w:abstractNumId="40" w15:restartNumberingAfterBreak="0">
    <w:nsid w:val="7685128A"/>
    <w:multiLevelType w:val="hybridMultilevel"/>
    <w:tmpl w:val="F3103E04"/>
    <w:lvl w:ilvl="0" w:tplc="9FC4B73E">
      <w:start w:val="5"/>
      <w:numFmt w:val="lowerRoman"/>
      <w:lvlText w:val="(%1)"/>
      <w:lvlJc w:val="left"/>
      <w:pPr>
        <w:ind w:left="616" w:hanging="406"/>
        <w:jc w:val="right"/>
      </w:pPr>
      <w:rPr>
        <w:rFonts w:ascii="Roboto Cn" w:eastAsia="Roboto Cn" w:hAnsi="Roboto Cn" w:cs="Roboto Cn" w:hint="default"/>
        <w:b/>
        <w:bCs/>
        <w:i/>
        <w:iCs/>
        <w:spacing w:val="0"/>
        <w:w w:val="107"/>
        <w:sz w:val="28"/>
        <w:szCs w:val="28"/>
        <w:lang w:val="en-US" w:eastAsia="en-US" w:bidi="ar-SA"/>
      </w:rPr>
    </w:lvl>
    <w:lvl w:ilvl="1" w:tplc="5B5664EC">
      <w:numFmt w:val="bullet"/>
      <w:lvlText w:val="•"/>
      <w:lvlJc w:val="left"/>
      <w:pPr>
        <w:ind w:left="1524" w:hanging="406"/>
      </w:pPr>
      <w:rPr>
        <w:rFonts w:hint="default"/>
        <w:lang w:val="en-US" w:eastAsia="en-US" w:bidi="ar-SA"/>
      </w:rPr>
    </w:lvl>
    <w:lvl w:ilvl="2" w:tplc="27A0696E">
      <w:numFmt w:val="bullet"/>
      <w:lvlText w:val="•"/>
      <w:lvlJc w:val="left"/>
      <w:pPr>
        <w:ind w:left="2428" w:hanging="406"/>
      </w:pPr>
      <w:rPr>
        <w:rFonts w:hint="default"/>
        <w:lang w:val="en-US" w:eastAsia="en-US" w:bidi="ar-SA"/>
      </w:rPr>
    </w:lvl>
    <w:lvl w:ilvl="3" w:tplc="26F63466">
      <w:numFmt w:val="bullet"/>
      <w:lvlText w:val="•"/>
      <w:lvlJc w:val="left"/>
      <w:pPr>
        <w:ind w:left="3332" w:hanging="406"/>
      </w:pPr>
      <w:rPr>
        <w:rFonts w:hint="default"/>
        <w:lang w:val="en-US" w:eastAsia="en-US" w:bidi="ar-SA"/>
      </w:rPr>
    </w:lvl>
    <w:lvl w:ilvl="4" w:tplc="75D012D4">
      <w:numFmt w:val="bullet"/>
      <w:lvlText w:val="•"/>
      <w:lvlJc w:val="left"/>
      <w:pPr>
        <w:ind w:left="4236" w:hanging="406"/>
      </w:pPr>
      <w:rPr>
        <w:rFonts w:hint="default"/>
        <w:lang w:val="en-US" w:eastAsia="en-US" w:bidi="ar-SA"/>
      </w:rPr>
    </w:lvl>
    <w:lvl w:ilvl="5" w:tplc="C6843932">
      <w:numFmt w:val="bullet"/>
      <w:lvlText w:val="•"/>
      <w:lvlJc w:val="left"/>
      <w:pPr>
        <w:ind w:left="5140" w:hanging="406"/>
      </w:pPr>
      <w:rPr>
        <w:rFonts w:hint="default"/>
        <w:lang w:val="en-US" w:eastAsia="en-US" w:bidi="ar-SA"/>
      </w:rPr>
    </w:lvl>
    <w:lvl w:ilvl="6" w:tplc="81DEA122">
      <w:numFmt w:val="bullet"/>
      <w:lvlText w:val="•"/>
      <w:lvlJc w:val="left"/>
      <w:pPr>
        <w:ind w:left="6044" w:hanging="406"/>
      </w:pPr>
      <w:rPr>
        <w:rFonts w:hint="default"/>
        <w:lang w:val="en-US" w:eastAsia="en-US" w:bidi="ar-SA"/>
      </w:rPr>
    </w:lvl>
    <w:lvl w:ilvl="7" w:tplc="2F66A2B0">
      <w:numFmt w:val="bullet"/>
      <w:lvlText w:val="•"/>
      <w:lvlJc w:val="left"/>
      <w:pPr>
        <w:ind w:left="6948" w:hanging="406"/>
      </w:pPr>
      <w:rPr>
        <w:rFonts w:hint="default"/>
        <w:lang w:val="en-US" w:eastAsia="en-US" w:bidi="ar-SA"/>
      </w:rPr>
    </w:lvl>
    <w:lvl w:ilvl="8" w:tplc="AFEEB458">
      <w:numFmt w:val="bullet"/>
      <w:lvlText w:val="•"/>
      <w:lvlJc w:val="left"/>
      <w:pPr>
        <w:ind w:left="7852" w:hanging="406"/>
      </w:pPr>
      <w:rPr>
        <w:rFonts w:hint="default"/>
        <w:lang w:val="en-US" w:eastAsia="en-US" w:bidi="ar-SA"/>
      </w:rPr>
    </w:lvl>
  </w:abstractNum>
  <w:abstractNum w:abstractNumId="41" w15:restartNumberingAfterBreak="0">
    <w:nsid w:val="788E21B6"/>
    <w:multiLevelType w:val="multilevel"/>
    <w:tmpl w:val="1408F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A6E1123"/>
    <w:multiLevelType w:val="hybridMultilevel"/>
    <w:tmpl w:val="38CC60BE"/>
    <w:lvl w:ilvl="0" w:tplc="E370CBB2">
      <w:start w:val="1"/>
      <w:numFmt w:val="decimal"/>
      <w:lvlText w:val="%1."/>
      <w:lvlJc w:val="left"/>
      <w:pPr>
        <w:ind w:left="439" w:hanging="300"/>
        <w:jc w:val="left"/>
      </w:pPr>
      <w:rPr>
        <w:rFonts w:ascii="Roboto" w:eastAsia="Roboto" w:hAnsi="Roboto" w:cs="Roboto" w:hint="default"/>
        <w:i/>
        <w:iCs/>
        <w:spacing w:val="-1"/>
        <w:w w:val="98"/>
        <w:sz w:val="28"/>
        <w:szCs w:val="28"/>
        <w:lang w:val="en-US" w:eastAsia="en-US" w:bidi="ar-SA"/>
      </w:rPr>
    </w:lvl>
    <w:lvl w:ilvl="1" w:tplc="ED9E81C0">
      <w:numFmt w:val="bullet"/>
      <w:lvlText w:val="•"/>
      <w:lvlJc w:val="left"/>
      <w:pPr>
        <w:ind w:left="1362" w:hanging="300"/>
      </w:pPr>
      <w:rPr>
        <w:rFonts w:hint="default"/>
        <w:lang w:val="en-US" w:eastAsia="en-US" w:bidi="ar-SA"/>
      </w:rPr>
    </w:lvl>
    <w:lvl w:ilvl="2" w:tplc="1FF20E90">
      <w:numFmt w:val="bullet"/>
      <w:lvlText w:val="•"/>
      <w:lvlJc w:val="left"/>
      <w:pPr>
        <w:ind w:left="2284" w:hanging="300"/>
      </w:pPr>
      <w:rPr>
        <w:rFonts w:hint="default"/>
        <w:lang w:val="en-US" w:eastAsia="en-US" w:bidi="ar-SA"/>
      </w:rPr>
    </w:lvl>
    <w:lvl w:ilvl="3" w:tplc="17BA9B34">
      <w:numFmt w:val="bullet"/>
      <w:lvlText w:val="•"/>
      <w:lvlJc w:val="left"/>
      <w:pPr>
        <w:ind w:left="3206" w:hanging="300"/>
      </w:pPr>
      <w:rPr>
        <w:rFonts w:hint="default"/>
        <w:lang w:val="en-US" w:eastAsia="en-US" w:bidi="ar-SA"/>
      </w:rPr>
    </w:lvl>
    <w:lvl w:ilvl="4" w:tplc="91E8DC0C">
      <w:numFmt w:val="bullet"/>
      <w:lvlText w:val="•"/>
      <w:lvlJc w:val="left"/>
      <w:pPr>
        <w:ind w:left="4128" w:hanging="300"/>
      </w:pPr>
      <w:rPr>
        <w:rFonts w:hint="default"/>
        <w:lang w:val="en-US" w:eastAsia="en-US" w:bidi="ar-SA"/>
      </w:rPr>
    </w:lvl>
    <w:lvl w:ilvl="5" w:tplc="4AF2B9D4">
      <w:numFmt w:val="bullet"/>
      <w:lvlText w:val="•"/>
      <w:lvlJc w:val="left"/>
      <w:pPr>
        <w:ind w:left="5050" w:hanging="300"/>
      </w:pPr>
      <w:rPr>
        <w:rFonts w:hint="default"/>
        <w:lang w:val="en-US" w:eastAsia="en-US" w:bidi="ar-SA"/>
      </w:rPr>
    </w:lvl>
    <w:lvl w:ilvl="6" w:tplc="76B68256">
      <w:numFmt w:val="bullet"/>
      <w:lvlText w:val="•"/>
      <w:lvlJc w:val="left"/>
      <w:pPr>
        <w:ind w:left="5972" w:hanging="300"/>
      </w:pPr>
      <w:rPr>
        <w:rFonts w:hint="default"/>
        <w:lang w:val="en-US" w:eastAsia="en-US" w:bidi="ar-SA"/>
      </w:rPr>
    </w:lvl>
    <w:lvl w:ilvl="7" w:tplc="C5C6C3CA">
      <w:numFmt w:val="bullet"/>
      <w:lvlText w:val="•"/>
      <w:lvlJc w:val="left"/>
      <w:pPr>
        <w:ind w:left="6894" w:hanging="300"/>
      </w:pPr>
      <w:rPr>
        <w:rFonts w:hint="default"/>
        <w:lang w:val="en-US" w:eastAsia="en-US" w:bidi="ar-SA"/>
      </w:rPr>
    </w:lvl>
    <w:lvl w:ilvl="8" w:tplc="8D603F40">
      <w:numFmt w:val="bullet"/>
      <w:lvlText w:val="•"/>
      <w:lvlJc w:val="left"/>
      <w:pPr>
        <w:ind w:left="7816" w:hanging="300"/>
      </w:pPr>
      <w:rPr>
        <w:rFonts w:hint="default"/>
        <w:lang w:val="en-US" w:eastAsia="en-US" w:bidi="ar-SA"/>
      </w:rPr>
    </w:lvl>
  </w:abstractNum>
  <w:abstractNum w:abstractNumId="43" w15:restartNumberingAfterBreak="0">
    <w:nsid w:val="7B9A232D"/>
    <w:multiLevelType w:val="multilevel"/>
    <w:tmpl w:val="384048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C10521A"/>
    <w:multiLevelType w:val="multilevel"/>
    <w:tmpl w:val="CAA4A9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DA5080B"/>
    <w:multiLevelType w:val="hybridMultilevel"/>
    <w:tmpl w:val="84A8A656"/>
    <w:lvl w:ilvl="0" w:tplc="AF68BCF2">
      <w:start w:val="1"/>
      <w:numFmt w:val="decimal"/>
      <w:lvlText w:val="%1."/>
      <w:lvlJc w:val="left"/>
      <w:pPr>
        <w:ind w:left="445" w:hanging="306"/>
      </w:pPr>
      <w:rPr>
        <w:rFonts w:ascii="Roboto Cn" w:eastAsia="Roboto Cn" w:hAnsi="Roboto Cn" w:cs="Roboto Cn" w:hint="default"/>
        <w:b/>
        <w:bCs/>
        <w:i/>
        <w:iCs/>
        <w:spacing w:val="0"/>
        <w:w w:val="99"/>
        <w:sz w:val="28"/>
        <w:szCs w:val="28"/>
        <w:lang w:val="en-US" w:eastAsia="en-US" w:bidi="ar-SA"/>
      </w:rPr>
    </w:lvl>
    <w:lvl w:ilvl="1" w:tplc="32A6583A">
      <w:numFmt w:val="bullet"/>
      <w:lvlText w:val="•"/>
      <w:lvlJc w:val="left"/>
      <w:pPr>
        <w:ind w:left="1362" w:hanging="306"/>
      </w:pPr>
      <w:rPr>
        <w:rFonts w:hint="default"/>
        <w:lang w:val="en-US" w:eastAsia="en-US" w:bidi="ar-SA"/>
      </w:rPr>
    </w:lvl>
    <w:lvl w:ilvl="2" w:tplc="FAF2AFFE">
      <w:numFmt w:val="bullet"/>
      <w:lvlText w:val="•"/>
      <w:lvlJc w:val="left"/>
      <w:pPr>
        <w:ind w:left="2284" w:hanging="306"/>
      </w:pPr>
      <w:rPr>
        <w:rFonts w:hint="default"/>
        <w:lang w:val="en-US" w:eastAsia="en-US" w:bidi="ar-SA"/>
      </w:rPr>
    </w:lvl>
    <w:lvl w:ilvl="3" w:tplc="48A44BB2">
      <w:numFmt w:val="bullet"/>
      <w:lvlText w:val="•"/>
      <w:lvlJc w:val="left"/>
      <w:pPr>
        <w:ind w:left="3206" w:hanging="306"/>
      </w:pPr>
      <w:rPr>
        <w:rFonts w:hint="default"/>
        <w:lang w:val="en-US" w:eastAsia="en-US" w:bidi="ar-SA"/>
      </w:rPr>
    </w:lvl>
    <w:lvl w:ilvl="4" w:tplc="45402CB8">
      <w:numFmt w:val="bullet"/>
      <w:lvlText w:val="•"/>
      <w:lvlJc w:val="left"/>
      <w:pPr>
        <w:ind w:left="4128" w:hanging="306"/>
      </w:pPr>
      <w:rPr>
        <w:rFonts w:hint="default"/>
        <w:lang w:val="en-US" w:eastAsia="en-US" w:bidi="ar-SA"/>
      </w:rPr>
    </w:lvl>
    <w:lvl w:ilvl="5" w:tplc="F5349710">
      <w:numFmt w:val="bullet"/>
      <w:lvlText w:val="•"/>
      <w:lvlJc w:val="left"/>
      <w:pPr>
        <w:ind w:left="5050" w:hanging="306"/>
      </w:pPr>
      <w:rPr>
        <w:rFonts w:hint="default"/>
        <w:lang w:val="en-US" w:eastAsia="en-US" w:bidi="ar-SA"/>
      </w:rPr>
    </w:lvl>
    <w:lvl w:ilvl="6" w:tplc="B33C9442">
      <w:numFmt w:val="bullet"/>
      <w:lvlText w:val="•"/>
      <w:lvlJc w:val="left"/>
      <w:pPr>
        <w:ind w:left="5972" w:hanging="306"/>
      </w:pPr>
      <w:rPr>
        <w:rFonts w:hint="default"/>
        <w:lang w:val="en-US" w:eastAsia="en-US" w:bidi="ar-SA"/>
      </w:rPr>
    </w:lvl>
    <w:lvl w:ilvl="7" w:tplc="133AFCCA">
      <w:numFmt w:val="bullet"/>
      <w:lvlText w:val="•"/>
      <w:lvlJc w:val="left"/>
      <w:pPr>
        <w:ind w:left="6894" w:hanging="306"/>
      </w:pPr>
      <w:rPr>
        <w:rFonts w:hint="default"/>
        <w:lang w:val="en-US" w:eastAsia="en-US" w:bidi="ar-SA"/>
      </w:rPr>
    </w:lvl>
    <w:lvl w:ilvl="8" w:tplc="96C80CAC">
      <w:numFmt w:val="bullet"/>
      <w:lvlText w:val="•"/>
      <w:lvlJc w:val="left"/>
      <w:pPr>
        <w:ind w:left="7816" w:hanging="306"/>
      </w:pPr>
      <w:rPr>
        <w:rFonts w:hint="default"/>
        <w:lang w:val="en-US" w:eastAsia="en-US" w:bidi="ar-SA"/>
      </w:rPr>
    </w:lvl>
  </w:abstractNum>
  <w:abstractNum w:abstractNumId="46" w15:restartNumberingAfterBreak="0">
    <w:nsid w:val="7DC24CA6"/>
    <w:multiLevelType w:val="multilevel"/>
    <w:tmpl w:val="8396A0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9"/>
  </w:num>
  <w:num w:numId="3">
    <w:abstractNumId w:val="16"/>
  </w:num>
  <w:num w:numId="4">
    <w:abstractNumId w:val="39"/>
  </w:num>
  <w:num w:numId="5">
    <w:abstractNumId w:val="45"/>
  </w:num>
  <w:num w:numId="6">
    <w:abstractNumId w:val="42"/>
  </w:num>
  <w:num w:numId="7">
    <w:abstractNumId w:val="22"/>
  </w:num>
  <w:num w:numId="8">
    <w:abstractNumId w:val="27"/>
  </w:num>
  <w:num w:numId="9">
    <w:abstractNumId w:val="40"/>
  </w:num>
  <w:num w:numId="10">
    <w:abstractNumId w:val="4"/>
  </w:num>
  <w:num w:numId="11">
    <w:abstractNumId w:val="41"/>
  </w:num>
  <w:num w:numId="12">
    <w:abstractNumId w:val="31"/>
  </w:num>
  <w:num w:numId="13">
    <w:abstractNumId w:val="10"/>
  </w:num>
  <w:num w:numId="14">
    <w:abstractNumId w:val="34"/>
  </w:num>
  <w:num w:numId="15">
    <w:abstractNumId w:val="44"/>
  </w:num>
  <w:num w:numId="16">
    <w:abstractNumId w:val="7"/>
  </w:num>
  <w:num w:numId="17">
    <w:abstractNumId w:val="23"/>
  </w:num>
  <w:num w:numId="18">
    <w:abstractNumId w:val="2"/>
  </w:num>
  <w:num w:numId="19">
    <w:abstractNumId w:val="11"/>
  </w:num>
  <w:num w:numId="20">
    <w:abstractNumId w:val="18"/>
  </w:num>
  <w:num w:numId="21">
    <w:abstractNumId w:val="6"/>
  </w:num>
  <w:num w:numId="22">
    <w:abstractNumId w:val="35"/>
  </w:num>
  <w:num w:numId="23">
    <w:abstractNumId w:val="36"/>
  </w:num>
  <w:num w:numId="24">
    <w:abstractNumId w:val="13"/>
  </w:num>
  <w:num w:numId="25">
    <w:abstractNumId w:val="12"/>
  </w:num>
  <w:num w:numId="26">
    <w:abstractNumId w:val="46"/>
  </w:num>
  <w:num w:numId="27">
    <w:abstractNumId w:val="21"/>
  </w:num>
  <w:num w:numId="28">
    <w:abstractNumId w:val="28"/>
  </w:num>
  <w:num w:numId="29">
    <w:abstractNumId w:val="14"/>
  </w:num>
  <w:num w:numId="30">
    <w:abstractNumId w:val="29"/>
  </w:num>
  <w:num w:numId="31">
    <w:abstractNumId w:val="17"/>
  </w:num>
  <w:num w:numId="32">
    <w:abstractNumId w:val="24"/>
  </w:num>
  <w:num w:numId="33">
    <w:abstractNumId w:val="0"/>
  </w:num>
  <w:num w:numId="34">
    <w:abstractNumId w:val="25"/>
  </w:num>
  <w:num w:numId="35">
    <w:abstractNumId w:val="9"/>
  </w:num>
  <w:num w:numId="36">
    <w:abstractNumId w:val="38"/>
  </w:num>
  <w:num w:numId="37">
    <w:abstractNumId w:val="8"/>
  </w:num>
  <w:num w:numId="38">
    <w:abstractNumId w:val="1"/>
  </w:num>
  <w:num w:numId="39">
    <w:abstractNumId w:val="15"/>
  </w:num>
  <w:num w:numId="40">
    <w:abstractNumId w:val="20"/>
  </w:num>
  <w:num w:numId="41">
    <w:abstractNumId w:val="32"/>
  </w:num>
  <w:num w:numId="42">
    <w:abstractNumId w:val="30"/>
  </w:num>
  <w:num w:numId="43">
    <w:abstractNumId w:val="37"/>
  </w:num>
  <w:num w:numId="44">
    <w:abstractNumId w:val="5"/>
  </w:num>
  <w:num w:numId="45">
    <w:abstractNumId w:val="43"/>
  </w:num>
  <w:num w:numId="46">
    <w:abstractNumId w:val="26"/>
  </w:num>
  <w:num w:numId="4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0C79"/>
    <w:rsid w:val="000F082E"/>
    <w:rsid w:val="001F27EA"/>
    <w:rsid w:val="0051126A"/>
    <w:rsid w:val="007B1EF9"/>
    <w:rsid w:val="007F0C79"/>
    <w:rsid w:val="00870EBB"/>
    <w:rsid w:val="00A27976"/>
    <w:rsid w:val="00A35096"/>
    <w:rsid w:val="00B16770"/>
    <w:rsid w:val="00D01C46"/>
    <w:rsid w:val="00F13FAD"/>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0BC515"/>
  <w15:chartTrackingRefBased/>
  <w15:docId w15:val="{B12AAABC-8DEF-4F42-A519-B2D0BAC5F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n-US"/>
    </w:rPr>
  </w:style>
  <w:style w:type="paragraph" w:styleId="Heading2">
    <w:name w:val="heading 2"/>
    <w:basedOn w:val="Normal"/>
    <w:link w:val="Heading2Char"/>
    <w:uiPriority w:val="9"/>
    <w:qFormat/>
    <w:rsid w:val="00B16770"/>
    <w:pPr>
      <w:spacing w:before="100" w:beforeAutospacing="1" w:after="100" w:afterAutospacing="1" w:line="240" w:lineRule="auto"/>
      <w:outlineLvl w:val="1"/>
    </w:pPr>
    <w:rPr>
      <w:rFonts w:ascii="Times New Roman" w:eastAsia="Times New Roman" w:hAnsi="Times New Roman" w:cs="Times New Roman"/>
      <w:b/>
      <w:bCs/>
      <w:sz w:val="36"/>
      <w:szCs w:val="36"/>
      <w:lang w:val="en-IN" w:eastAsia="en-IN"/>
    </w:rPr>
  </w:style>
  <w:style w:type="paragraph" w:styleId="Heading3">
    <w:name w:val="heading 3"/>
    <w:basedOn w:val="Normal"/>
    <w:link w:val="Heading3Char"/>
    <w:uiPriority w:val="9"/>
    <w:qFormat/>
    <w:rsid w:val="00B16770"/>
    <w:pPr>
      <w:spacing w:before="100" w:beforeAutospacing="1" w:after="100" w:afterAutospacing="1" w:line="240" w:lineRule="auto"/>
      <w:outlineLvl w:val="2"/>
    </w:pPr>
    <w:rPr>
      <w:rFonts w:ascii="Times New Roman" w:eastAsia="Times New Roman" w:hAnsi="Times New Roman" w:cs="Times New Roman"/>
      <w:b/>
      <w:bCs/>
      <w:sz w:val="27"/>
      <w:szCs w:val="27"/>
      <w:lang w:val="en-IN"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16770"/>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B16770"/>
    <w:rPr>
      <w:rFonts w:ascii="Times New Roman" w:eastAsia="Times New Roman" w:hAnsi="Times New Roman" w:cs="Times New Roman"/>
      <w:b/>
      <w:bCs/>
      <w:sz w:val="27"/>
      <w:szCs w:val="27"/>
      <w:lang w:eastAsia="en-IN"/>
    </w:rPr>
  </w:style>
  <w:style w:type="character" w:styleId="Strong">
    <w:name w:val="Strong"/>
    <w:basedOn w:val="DefaultParagraphFont"/>
    <w:uiPriority w:val="22"/>
    <w:qFormat/>
    <w:rsid w:val="00B16770"/>
    <w:rPr>
      <w:b/>
      <w:bCs/>
    </w:rPr>
  </w:style>
  <w:style w:type="paragraph" w:styleId="NormalWeb">
    <w:name w:val="Normal (Web)"/>
    <w:basedOn w:val="Normal"/>
    <w:uiPriority w:val="99"/>
    <w:unhideWhenUsed/>
    <w:rsid w:val="00B16770"/>
    <w:pPr>
      <w:spacing w:before="100" w:beforeAutospacing="1" w:after="100" w:afterAutospacing="1" w:line="240" w:lineRule="auto"/>
    </w:pPr>
    <w:rPr>
      <w:rFonts w:ascii="Times New Roman" w:eastAsia="Times New Roman" w:hAnsi="Times New Roman" w:cs="Times New Roman"/>
      <w:sz w:val="24"/>
      <w:szCs w:val="24"/>
      <w:lang w:val="en-IN" w:eastAsia="en-IN"/>
    </w:rPr>
  </w:style>
  <w:style w:type="character" w:styleId="Hyperlink">
    <w:name w:val="Hyperlink"/>
    <w:basedOn w:val="DefaultParagraphFont"/>
    <w:uiPriority w:val="99"/>
    <w:semiHidden/>
    <w:unhideWhenUsed/>
    <w:rsid w:val="00B16770"/>
    <w:rPr>
      <w:color w:val="0000FF"/>
      <w:u w:val="single"/>
    </w:rPr>
  </w:style>
  <w:style w:type="character" w:customStyle="1" w:styleId="a">
    <w:name w:val="_"/>
    <w:basedOn w:val="DefaultParagraphFont"/>
    <w:rsid w:val="00B16770"/>
  </w:style>
  <w:style w:type="character" w:customStyle="1" w:styleId="ff3">
    <w:name w:val="ff3"/>
    <w:basedOn w:val="DefaultParagraphFont"/>
    <w:rsid w:val="00B16770"/>
  </w:style>
  <w:style w:type="character" w:customStyle="1" w:styleId="ws1">
    <w:name w:val="ws1"/>
    <w:basedOn w:val="DefaultParagraphFont"/>
    <w:rsid w:val="00B16770"/>
  </w:style>
  <w:style w:type="paragraph" w:styleId="BodyText">
    <w:name w:val="Body Text"/>
    <w:basedOn w:val="Normal"/>
    <w:link w:val="BodyTextChar"/>
    <w:uiPriority w:val="1"/>
    <w:qFormat/>
    <w:rsid w:val="00A35096"/>
    <w:pPr>
      <w:widowControl w:val="0"/>
      <w:autoSpaceDE w:val="0"/>
      <w:autoSpaceDN w:val="0"/>
      <w:spacing w:before="241" w:after="0" w:line="240" w:lineRule="auto"/>
      <w:ind w:left="140"/>
    </w:pPr>
    <w:rPr>
      <w:rFonts w:ascii="Roboto" w:eastAsia="Roboto" w:hAnsi="Roboto" w:cs="Roboto"/>
      <w:i/>
      <w:iCs/>
      <w:sz w:val="28"/>
      <w:szCs w:val="28"/>
    </w:rPr>
  </w:style>
  <w:style w:type="character" w:customStyle="1" w:styleId="BodyTextChar">
    <w:name w:val="Body Text Char"/>
    <w:basedOn w:val="DefaultParagraphFont"/>
    <w:link w:val="BodyText"/>
    <w:uiPriority w:val="1"/>
    <w:rsid w:val="00A35096"/>
    <w:rPr>
      <w:rFonts w:ascii="Roboto" w:eastAsia="Roboto" w:hAnsi="Roboto" w:cs="Roboto"/>
      <w:i/>
      <w:iCs/>
      <w:sz w:val="28"/>
      <w:szCs w:val="28"/>
      <w:lang w:val="en-US"/>
    </w:rPr>
  </w:style>
  <w:style w:type="paragraph" w:styleId="ListParagraph">
    <w:name w:val="List Paragraph"/>
    <w:basedOn w:val="Normal"/>
    <w:uiPriority w:val="34"/>
    <w:qFormat/>
    <w:rsid w:val="00A35096"/>
    <w:pPr>
      <w:widowControl w:val="0"/>
      <w:autoSpaceDE w:val="0"/>
      <w:autoSpaceDN w:val="0"/>
      <w:spacing w:before="241" w:after="0" w:line="240" w:lineRule="auto"/>
      <w:ind w:left="140"/>
    </w:pPr>
    <w:rPr>
      <w:rFonts w:ascii="Roboto" w:eastAsia="Roboto" w:hAnsi="Roboto" w:cs="Roboto"/>
    </w:rPr>
  </w:style>
  <w:style w:type="paragraph" w:styleId="BalloonText">
    <w:name w:val="Balloon Text"/>
    <w:basedOn w:val="Normal"/>
    <w:link w:val="BalloonTextChar"/>
    <w:uiPriority w:val="99"/>
    <w:semiHidden/>
    <w:unhideWhenUsed/>
    <w:rsid w:val="00F13FA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3FAD"/>
    <w:rPr>
      <w:rFonts w:ascii="Segoe U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7282920">
      <w:bodyDiv w:val="1"/>
      <w:marLeft w:val="0"/>
      <w:marRight w:val="0"/>
      <w:marTop w:val="0"/>
      <w:marBottom w:val="0"/>
      <w:divBdr>
        <w:top w:val="none" w:sz="0" w:space="0" w:color="auto"/>
        <w:left w:val="none" w:sz="0" w:space="0" w:color="auto"/>
        <w:bottom w:val="none" w:sz="0" w:space="0" w:color="auto"/>
        <w:right w:val="none" w:sz="0" w:space="0" w:color="auto"/>
      </w:divBdr>
      <w:divsChild>
        <w:div w:id="738287776">
          <w:marLeft w:val="0"/>
          <w:marRight w:val="0"/>
          <w:marTop w:val="0"/>
          <w:marBottom w:val="0"/>
          <w:divBdr>
            <w:top w:val="none" w:sz="0" w:space="0" w:color="auto"/>
            <w:left w:val="none" w:sz="0" w:space="0" w:color="auto"/>
            <w:bottom w:val="none" w:sz="0" w:space="0" w:color="auto"/>
            <w:right w:val="none" w:sz="0" w:space="0" w:color="auto"/>
          </w:divBdr>
        </w:div>
        <w:div w:id="214392474">
          <w:marLeft w:val="0"/>
          <w:marRight w:val="0"/>
          <w:marTop w:val="0"/>
          <w:marBottom w:val="0"/>
          <w:divBdr>
            <w:top w:val="none" w:sz="0" w:space="0" w:color="auto"/>
            <w:left w:val="none" w:sz="0" w:space="0" w:color="auto"/>
            <w:bottom w:val="none" w:sz="0" w:space="0" w:color="auto"/>
            <w:right w:val="none" w:sz="0" w:space="0" w:color="auto"/>
          </w:divBdr>
        </w:div>
        <w:div w:id="1710908354">
          <w:marLeft w:val="0"/>
          <w:marRight w:val="0"/>
          <w:marTop w:val="0"/>
          <w:marBottom w:val="0"/>
          <w:divBdr>
            <w:top w:val="none" w:sz="0" w:space="0" w:color="auto"/>
            <w:left w:val="none" w:sz="0" w:space="0" w:color="auto"/>
            <w:bottom w:val="none" w:sz="0" w:space="0" w:color="auto"/>
            <w:right w:val="none" w:sz="0" w:space="0" w:color="auto"/>
          </w:divBdr>
        </w:div>
        <w:div w:id="761875051">
          <w:marLeft w:val="0"/>
          <w:marRight w:val="0"/>
          <w:marTop w:val="0"/>
          <w:marBottom w:val="0"/>
          <w:divBdr>
            <w:top w:val="none" w:sz="0" w:space="0" w:color="auto"/>
            <w:left w:val="none" w:sz="0" w:space="0" w:color="auto"/>
            <w:bottom w:val="none" w:sz="0" w:space="0" w:color="auto"/>
            <w:right w:val="none" w:sz="0" w:space="0" w:color="auto"/>
          </w:divBdr>
        </w:div>
        <w:div w:id="272908003">
          <w:marLeft w:val="0"/>
          <w:marRight w:val="0"/>
          <w:marTop w:val="0"/>
          <w:marBottom w:val="0"/>
          <w:divBdr>
            <w:top w:val="none" w:sz="0" w:space="0" w:color="auto"/>
            <w:left w:val="none" w:sz="0" w:space="0" w:color="auto"/>
            <w:bottom w:val="none" w:sz="0" w:space="0" w:color="auto"/>
            <w:right w:val="none" w:sz="0" w:space="0" w:color="auto"/>
          </w:divBdr>
        </w:div>
        <w:div w:id="691538324">
          <w:marLeft w:val="0"/>
          <w:marRight w:val="0"/>
          <w:marTop w:val="0"/>
          <w:marBottom w:val="0"/>
          <w:divBdr>
            <w:top w:val="none" w:sz="0" w:space="0" w:color="auto"/>
            <w:left w:val="none" w:sz="0" w:space="0" w:color="auto"/>
            <w:bottom w:val="none" w:sz="0" w:space="0" w:color="auto"/>
            <w:right w:val="none" w:sz="0" w:space="0" w:color="auto"/>
          </w:divBdr>
        </w:div>
      </w:divsChild>
    </w:div>
    <w:div w:id="218169875">
      <w:bodyDiv w:val="1"/>
      <w:marLeft w:val="0"/>
      <w:marRight w:val="0"/>
      <w:marTop w:val="0"/>
      <w:marBottom w:val="0"/>
      <w:divBdr>
        <w:top w:val="none" w:sz="0" w:space="0" w:color="auto"/>
        <w:left w:val="none" w:sz="0" w:space="0" w:color="auto"/>
        <w:bottom w:val="none" w:sz="0" w:space="0" w:color="auto"/>
        <w:right w:val="none" w:sz="0" w:space="0" w:color="auto"/>
      </w:divBdr>
    </w:div>
    <w:div w:id="415325635">
      <w:bodyDiv w:val="1"/>
      <w:marLeft w:val="0"/>
      <w:marRight w:val="0"/>
      <w:marTop w:val="0"/>
      <w:marBottom w:val="0"/>
      <w:divBdr>
        <w:top w:val="none" w:sz="0" w:space="0" w:color="auto"/>
        <w:left w:val="none" w:sz="0" w:space="0" w:color="auto"/>
        <w:bottom w:val="none" w:sz="0" w:space="0" w:color="auto"/>
        <w:right w:val="none" w:sz="0" w:space="0" w:color="auto"/>
      </w:divBdr>
    </w:div>
    <w:div w:id="961881841">
      <w:bodyDiv w:val="1"/>
      <w:marLeft w:val="0"/>
      <w:marRight w:val="0"/>
      <w:marTop w:val="0"/>
      <w:marBottom w:val="0"/>
      <w:divBdr>
        <w:top w:val="none" w:sz="0" w:space="0" w:color="auto"/>
        <w:left w:val="none" w:sz="0" w:space="0" w:color="auto"/>
        <w:bottom w:val="none" w:sz="0" w:space="0" w:color="auto"/>
        <w:right w:val="none" w:sz="0" w:space="0" w:color="auto"/>
      </w:divBdr>
      <w:divsChild>
        <w:div w:id="45833748">
          <w:marLeft w:val="0"/>
          <w:marRight w:val="0"/>
          <w:marTop w:val="0"/>
          <w:marBottom w:val="0"/>
          <w:divBdr>
            <w:top w:val="none" w:sz="0" w:space="0" w:color="auto"/>
            <w:left w:val="none" w:sz="0" w:space="0" w:color="auto"/>
            <w:bottom w:val="none" w:sz="0" w:space="0" w:color="auto"/>
            <w:right w:val="none" w:sz="0" w:space="0" w:color="auto"/>
          </w:divBdr>
        </w:div>
        <w:div w:id="1139304872">
          <w:marLeft w:val="0"/>
          <w:marRight w:val="0"/>
          <w:marTop w:val="0"/>
          <w:marBottom w:val="0"/>
          <w:divBdr>
            <w:top w:val="none" w:sz="0" w:space="0" w:color="auto"/>
            <w:left w:val="none" w:sz="0" w:space="0" w:color="auto"/>
            <w:bottom w:val="none" w:sz="0" w:space="0" w:color="auto"/>
            <w:right w:val="none" w:sz="0" w:space="0" w:color="auto"/>
          </w:divBdr>
        </w:div>
        <w:div w:id="1961260602">
          <w:marLeft w:val="0"/>
          <w:marRight w:val="0"/>
          <w:marTop w:val="0"/>
          <w:marBottom w:val="0"/>
          <w:divBdr>
            <w:top w:val="none" w:sz="0" w:space="0" w:color="auto"/>
            <w:left w:val="none" w:sz="0" w:space="0" w:color="auto"/>
            <w:bottom w:val="none" w:sz="0" w:space="0" w:color="auto"/>
            <w:right w:val="none" w:sz="0" w:space="0" w:color="auto"/>
          </w:divBdr>
        </w:div>
        <w:div w:id="1291546970">
          <w:marLeft w:val="0"/>
          <w:marRight w:val="0"/>
          <w:marTop w:val="0"/>
          <w:marBottom w:val="0"/>
          <w:divBdr>
            <w:top w:val="none" w:sz="0" w:space="0" w:color="auto"/>
            <w:left w:val="none" w:sz="0" w:space="0" w:color="auto"/>
            <w:bottom w:val="none" w:sz="0" w:space="0" w:color="auto"/>
            <w:right w:val="none" w:sz="0" w:space="0" w:color="auto"/>
          </w:divBdr>
        </w:div>
        <w:div w:id="629943697">
          <w:marLeft w:val="0"/>
          <w:marRight w:val="0"/>
          <w:marTop w:val="0"/>
          <w:marBottom w:val="0"/>
          <w:divBdr>
            <w:top w:val="none" w:sz="0" w:space="0" w:color="auto"/>
            <w:left w:val="none" w:sz="0" w:space="0" w:color="auto"/>
            <w:bottom w:val="none" w:sz="0" w:space="0" w:color="auto"/>
            <w:right w:val="none" w:sz="0" w:space="0" w:color="auto"/>
          </w:divBdr>
        </w:div>
        <w:div w:id="571702586">
          <w:marLeft w:val="0"/>
          <w:marRight w:val="0"/>
          <w:marTop w:val="0"/>
          <w:marBottom w:val="0"/>
          <w:divBdr>
            <w:top w:val="none" w:sz="0" w:space="0" w:color="auto"/>
            <w:left w:val="none" w:sz="0" w:space="0" w:color="auto"/>
            <w:bottom w:val="none" w:sz="0" w:space="0" w:color="auto"/>
            <w:right w:val="none" w:sz="0" w:space="0" w:color="auto"/>
          </w:divBdr>
        </w:div>
      </w:divsChild>
    </w:div>
    <w:div w:id="1676491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diagramQuickStyle" Target="diagrams/quickStyle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image" Target="media/image2.png"/><Relationship Id="rId5" Type="http://schemas.openxmlformats.org/officeDocument/2006/relationships/diagramData" Target="diagrams/data1.xml"/><Relationship Id="rId10" Type="http://schemas.openxmlformats.org/officeDocument/2006/relationships/image" Target="media/image1.png"/><Relationship Id="rId4" Type="http://schemas.openxmlformats.org/officeDocument/2006/relationships/webSettings" Target="webSettings.xml"/><Relationship Id="rId9"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DC8FD73-2CAC-48AC-A683-88A8D56D2D83}"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IN"/>
        </a:p>
      </dgm:t>
    </dgm:pt>
    <dgm:pt modelId="{5F8471F6-D970-46BD-9D6C-DBE4655B28F2}">
      <dgm:prSet phldrT="[Text]"/>
      <dgm:spPr/>
      <dgm:t>
        <a:bodyPr/>
        <a:lstStyle/>
        <a:p>
          <a:r>
            <a:rPr lang="en-IN"/>
            <a:t>Dividend  Discount Model</a:t>
          </a:r>
        </a:p>
      </dgm:t>
    </dgm:pt>
    <dgm:pt modelId="{52508B96-16C3-4245-868F-D07CDE1AE44F}" type="parTrans" cxnId="{17C83A5F-A08B-40B7-83AB-7425B725C61B}">
      <dgm:prSet/>
      <dgm:spPr/>
      <dgm:t>
        <a:bodyPr/>
        <a:lstStyle/>
        <a:p>
          <a:endParaRPr lang="en-IN"/>
        </a:p>
      </dgm:t>
    </dgm:pt>
    <dgm:pt modelId="{79D6F21B-9A89-46B6-AA73-A8CF70C44EFB}" type="sibTrans" cxnId="{17C83A5F-A08B-40B7-83AB-7425B725C61B}">
      <dgm:prSet/>
      <dgm:spPr/>
      <dgm:t>
        <a:bodyPr/>
        <a:lstStyle/>
        <a:p>
          <a:endParaRPr lang="en-IN"/>
        </a:p>
      </dgm:t>
    </dgm:pt>
    <dgm:pt modelId="{DDCDC2AB-B1B8-4EAE-9461-2EBF3CB2E0BE}">
      <dgm:prSet phldrT="[Text]"/>
      <dgm:spPr/>
      <dgm:t>
        <a:bodyPr/>
        <a:lstStyle/>
        <a:p>
          <a:r>
            <a:rPr lang="en-IN"/>
            <a:t>Zero Growth Model</a:t>
          </a:r>
        </a:p>
      </dgm:t>
    </dgm:pt>
    <dgm:pt modelId="{AA10625B-110D-41C9-8052-718A4F2B8902}" type="parTrans" cxnId="{04A947A8-3691-4DF6-B9EA-786FFDD7A34A}">
      <dgm:prSet/>
      <dgm:spPr/>
      <dgm:t>
        <a:bodyPr/>
        <a:lstStyle/>
        <a:p>
          <a:endParaRPr lang="en-IN"/>
        </a:p>
      </dgm:t>
    </dgm:pt>
    <dgm:pt modelId="{C75D0B53-E42F-4603-9C92-E91945BC2FDD}" type="sibTrans" cxnId="{04A947A8-3691-4DF6-B9EA-786FFDD7A34A}">
      <dgm:prSet/>
      <dgm:spPr/>
      <dgm:t>
        <a:bodyPr/>
        <a:lstStyle/>
        <a:p>
          <a:endParaRPr lang="en-IN"/>
        </a:p>
      </dgm:t>
    </dgm:pt>
    <dgm:pt modelId="{C6FAD400-62EA-4EA7-BE26-C33CC18037CD}">
      <dgm:prSet phldrT="[Text]"/>
      <dgm:spPr/>
      <dgm:t>
        <a:bodyPr/>
        <a:lstStyle/>
        <a:p>
          <a:r>
            <a:rPr lang="en-IN"/>
            <a:t>Constant Growth Model</a:t>
          </a:r>
        </a:p>
      </dgm:t>
    </dgm:pt>
    <dgm:pt modelId="{8C9C28AB-8251-46AF-A2E0-D67B932BF95D}" type="parTrans" cxnId="{78675D30-57CF-4643-895E-FA314BB874CC}">
      <dgm:prSet/>
      <dgm:spPr/>
      <dgm:t>
        <a:bodyPr/>
        <a:lstStyle/>
        <a:p>
          <a:endParaRPr lang="en-IN"/>
        </a:p>
      </dgm:t>
    </dgm:pt>
    <dgm:pt modelId="{428A0C18-A18A-4F7D-A153-899B28D9DE43}" type="sibTrans" cxnId="{78675D30-57CF-4643-895E-FA314BB874CC}">
      <dgm:prSet/>
      <dgm:spPr/>
      <dgm:t>
        <a:bodyPr/>
        <a:lstStyle/>
        <a:p>
          <a:endParaRPr lang="en-IN"/>
        </a:p>
      </dgm:t>
    </dgm:pt>
    <dgm:pt modelId="{298993A1-383C-4BD2-8C91-3484F2449851}">
      <dgm:prSet phldrT="[Text]"/>
      <dgm:spPr/>
      <dgm:t>
        <a:bodyPr/>
        <a:lstStyle/>
        <a:p>
          <a:r>
            <a:rPr lang="en-IN"/>
            <a:t>Multiple Growth Model</a:t>
          </a:r>
        </a:p>
      </dgm:t>
    </dgm:pt>
    <dgm:pt modelId="{99190F1A-4E55-44BB-8A8F-C815431B1BA1}" type="parTrans" cxnId="{E890EA90-401C-45C6-AA0F-2BDB5A1CF50A}">
      <dgm:prSet/>
      <dgm:spPr/>
      <dgm:t>
        <a:bodyPr/>
        <a:lstStyle/>
        <a:p>
          <a:endParaRPr lang="en-IN"/>
        </a:p>
      </dgm:t>
    </dgm:pt>
    <dgm:pt modelId="{4A36CFDE-FD26-4A9F-9834-9F583B551031}" type="sibTrans" cxnId="{E890EA90-401C-45C6-AA0F-2BDB5A1CF50A}">
      <dgm:prSet/>
      <dgm:spPr/>
      <dgm:t>
        <a:bodyPr/>
        <a:lstStyle/>
        <a:p>
          <a:endParaRPr lang="en-IN"/>
        </a:p>
      </dgm:t>
    </dgm:pt>
    <dgm:pt modelId="{21522A1C-5404-44B2-8D94-8AD3F69D9C44}" type="pres">
      <dgm:prSet presAssocID="{BDC8FD73-2CAC-48AC-A683-88A8D56D2D83}" presName="hierChild1" presStyleCnt="0">
        <dgm:presLayoutVars>
          <dgm:orgChart val="1"/>
          <dgm:chPref val="1"/>
          <dgm:dir/>
          <dgm:animOne val="branch"/>
          <dgm:animLvl val="lvl"/>
          <dgm:resizeHandles/>
        </dgm:presLayoutVars>
      </dgm:prSet>
      <dgm:spPr/>
    </dgm:pt>
    <dgm:pt modelId="{AD22829D-8BA0-4A71-85C9-C9C8EC70606C}" type="pres">
      <dgm:prSet presAssocID="{5F8471F6-D970-46BD-9D6C-DBE4655B28F2}" presName="hierRoot1" presStyleCnt="0">
        <dgm:presLayoutVars>
          <dgm:hierBranch val="init"/>
        </dgm:presLayoutVars>
      </dgm:prSet>
      <dgm:spPr/>
    </dgm:pt>
    <dgm:pt modelId="{EA566368-3B2E-4B91-A113-18F64B762DA2}" type="pres">
      <dgm:prSet presAssocID="{5F8471F6-D970-46BD-9D6C-DBE4655B28F2}" presName="rootComposite1" presStyleCnt="0"/>
      <dgm:spPr/>
    </dgm:pt>
    <dgm:pt modelId="{FDFEB6C4-3AD4-4E8D-A3DB-9DC173C2AE51}" type="pres">
      <dgm:prSet presAssocID="{5F8471F6-D970-46BD-9D6C-DBE4655B28F2}" presName="rootText1" presStyleLbl="node0" presStyleIdx="0" presStyleCnt="1">
        <dgm:presLayoutVars>
          <dgm:chPref val="3"/>
        </dgm:presLayoutVars>
      </dgm:prSet>
      <dgm:spPr/>
    </dgm:pt>
    <dgm:pt modelId="{202C46B1-A590-4434-AF85-178802A84585}" type="pres">
      <dgm:prSet presAssocID="{5F8471F6-D970-46BD-9D6C-DBE4655B28F2}" presName="rootConnector1" presStyleLbl="node1" presStyleIdx="0" presStyleCnt="0"/>
      <dgm:spPr/>
    </dgm:pt>
    <dgm:pt modelId="{C02E76DD-E69A-4DAD-B995-830A3FA270A3}" type="pres">
      <dgm:prSet presAssocID="{5F8471F6-D970-46BD-9D6C-DBE4655B28F2}" presName="hierChild2" presStyleCnt="0"/>
      <dgm:spPr/>
    </dgm:pt>
    <dgm:pt modelId="{D473E0EE-859A-4AB5-B0EB-ECE777352E99}" type="pres">
      <dgm:prSet presAssocID="{AA10625B-110D-41C9-8052-718A4F2B8902}" presName="Name37" presStyleLbl="parChTrans1D2" presStyleIdx="0" presStyleCnt="3"/>
      <dgm:spPr/>
    </dgm:pt>
    <dgm:pt modelId="{0E7A02E6-9F68-47FA-AB9C-01DBA93D5E15}" type="pres">
      <dgm:prSet presAssocID="{DDCDC2AB-B1B8-4EAE-9461-2EBF3CB2E0BE}" presName="hierRoot2" presStyleCnt="0">
        <dgm:presLayoutVars>
          <dgm:hierBranch val="init"/>
        </dgm:presLayoutVars>
      </dgm:prSet>
      <dgm:spPr/>
    </dgm:pt>
    <dgm:pt modelId="{FBCE01EF-6938-4E65-A8BA-84A3EB2FD28E}" type="pres">
      <dgm:prSet presAssocID="{DDCDC2AB-B1B8-4EAE-9461-2EBF3CB2E0BE}" presName="rootComposite" presStyleCnt="0"/>
      <dgm:spPr/>
    </dgm:pt>
    <dgm:pt modelId="{1EA91CD1-2FB9-4CDF-B966-13AA936BA1DB}" type="pres">
      <dgm:prSet presAssocID="{DDCDC2AB-B1B8-4EAE-9461-2EBF3CB2E0BE}" presName="rootText" presStyleLbl="node2" presStyleIdx="0" presStyleCnt="3">
        <dgm:presLayoutVars>
          <dgm:chPref val="3"/>
        </dgm:presLayoutVars>
      </dgm:prSet>
      <dgm:spPr/>
    </dgm:pt>
    <dgm:pt modelId="{A0148E30-BDA4-4BDA-B7A9-7C6D27E33432}" type="pres">
      <dgm:prSet presAssocID="{DDCDC2AB-B1B8-4EAE-9461-2EBF3CB2E0BE}" presName="rootConnector" presStyleLbl="node2" presStyleIdx="0" presStyleCnt="3"/>
      <dgm:spPr/>
    </dgm:pt>
    <dgm:pt modelId="{F8D6315A-ADD8-474B-8621-510F332C6560}" type="pres">
      <dgm:prSet presAssocID="{DDCDC2AB-B1B8-4EAE-9461-2EBF3CB2E0BE}" presName="hierChild4" presStyleCnt="0"/>
      <dgm:spPr/>
    </dgm:pt>
    <dgm:pt modelId="{C00048F2-1331-446B-8855-AF6C6A1D44A0}" type="pres">
      <dgm:prSet presAssocID="{DDCDC2AB-B1B8-4EAE-9461-2EBF3CB2E0BE}" presName="hierChild5" presStyleCnt="0"/>
      <dgm:spPr/>
    </dgm:pt>
    <dgm:pt modelId="{94CC7732-A25D-43DC-A2A3-BF5E156D5595}" type="pres">
      <dgm:prSet presAssocID="{8C9C28AB-8251-46AF-A2E0-D67B932BF95D}" presName="Name37" presStyleLbl="parChTrans1D2" presStyleIdx="1" presStyleCnt="3"/>
      <dgm:spPr/>
    </dgm:pt>
    <dgm:pt modelId="{891B9246-793C-4EED-A16B-714545EFDF21}" type="pres">
      <dgm:prSet presAssocID="{C6FAD400-62EA-4EA7-BE26-C33CC18037CD}" presName="hierRoot2" presStyleCnt="0">
        <dgm:presLayoutVars>
          <dgm:hierBranch val="init"/>
        </dgm:presLayoutVars>
      </dgm:prSet>
      <dgm:spPr/>
    </dgm:pt>
    <dgm:pt modelId="{DA185AEC-79AE-49FA-9F5E-39F2F4CAB06C}" type="pres">
      <dgm:prSet presAssocID="{C6FAD400-62EA-4EA7-BE26-C33CC18037CD}" presName="rootComposite" presStyleCnt="0"/>
      <dgm:spPr/>
    </dgm:pt>
    <dgm:pt modelId="{CBF0A1D4-FFD3-44C1-AB81-F5B2F548280A}" type="pres">
      <dgm:prSet presAssocID="{C6FAD400-62EA-4EA7-BE26-C33CC18037CD}" presName="rootText" presStyleLbl="node2" presStyleIdx="1" presStyleCnt="3">
        <dgm:presLayoutVars>
          <dgm:chPref val="3"/>
        </dgm:presLayoutVars>
      </dgm:prSet>
      <dgm:spPr/>
    </dgm:pt>
    <dgm:pt modelId="{90E4B8E0-E371-4AED-9BA6-99FB626DD27F}" type="pres">
      <dgm:prSet presAssocID="{C6FAD400-62EA-4EA7-BE26-C33CC18037CD}" presName="rootConnector" presStyleLbl="node2" presStyleIdx="1" presStyleCnt="3"/>
      <dgm:spPr/>
    </dgm:pt>
    <dgm:pt modelId="{C971D621-7AAA-4AB6-B476-53A1F05ED467}" type="pres">
      <dgm:prSet presAssocID="{C6FAD400-62EA-4EA7-BE26-C33CC18037CD}" presName="hierChild4" presStyleCnt="0"/>
      <dgm:spPr/>
    </dgm:pt>
    <dgm:pt modelId="{4B7940DE-13E8-4B39-8846-BC8A2624BE11}" type="pres">
      <dgm:prSet presAssocID="{C6FAD400-62EA-4EA7-BE26-C33CC18037CD}" presName="hierChild5" presStyleCnt="0"/>
      <dgm:spPr/>
    </dgm:pt>
    <dgm:pt modelId="{AB08C79C-0A65-4705-B8AF-D13A361899FE}" type="pres">
      <dgm:prSet presAssocID="{99190F1A-4E55-44BB-8A8F-C815431B1BA1}" presName="Name37" presStyleLbl="parChTrans1D2" presStyleIdx="2" presStyleCnt="3"/>
      <dgm:spPr/>
    </dgm:pt>
    <dgm:pt modelId="{74C22008-6F15-47BD-ADF0-60613A5BB576}" type="pres">
      <dgm:prSet presAssocID="{298993A1-383C-4BD2-8C91-3484F2449851}" presName="hierRoot2" presStyleCnt="0">
        <dgm:presLayoutVars>
          <dgm:hierBranch val="init"/>
        </dgm:presLayoutVars>
      </dgm:prSet>
      <dgm:spPr/>
    </dgm:pt>
    <dgm:pt modelId="{1C85923A-ACDD-4263-B809-7AC7CFC921F0}" type="pres">
      <dgm:prSet presAssocID="{298993A1-383C-4BD2-8C91-3484F2449851}" presName="rootComposite" presStyleCnt="0"/>
      <dgm:spPr/>
    </dgm:pt>
    <dgm:pt modelId="{8D53BD20-6717-4C95-A5BA-4BDBA13BC1D2}" type="pres">
      <dgm:prSet presAssocID="{298993A1-383C-4BD2-8C91-3484F2449851}" presName="rootText" presStyleLbl="node2" presStyleIdx="2" presStyleCnt="3">
        <dgm:presLayoutVars>
          <dgm:chPref val="3"/>
        </dgm:presLayoutVars>
      </dgm:prSet>
      <dgm:spPr/>
    </dgm:pt>
    <dgm:pt modelId="{A0353188-9BB3-43A9-94B7-653D34CCDE12}" type="pres">
      <dgm:prSet presAssocID="{298993A1-383C-4BD2-8C91-3484F2449851}" presName="rootConnector" presStyleLbl="node2" presStyleIdx="2" presStyleCnt="3"/>
      <dgm:spPr/>
    </dgm:pt>
    <dgm:pt modelId="{AF3CC488-6263-44E4-8BCD-BA14173AD6B7}" type="pres">
      <dgm:prSet presAssocID="{298993A1-383C-4BD2-8C91-3484F2449851}" presName="hierChild4" presStyleCnt="0"/>
      <dgm:spPr/>
    </dgm:pt>
    <dgm:pt modelId="{0FAC389B-4931-4DE6-A29B-67538371C4EA}" type="pres">
      <dgm:prSet presAssocID="{298993A1-383C-4BD2-8C91-3484F2449851}" presName="hierChild5" presStyleCnt="0"/>
      <dgm:spPr/>
    </dgm:pt>
    <dgm:pt modelId="{CDDCB558-2411-4C4D-8C56-8552F3C1A104}" type="pres">
      <dgm:prSet presAssocID="{5F8471F6-D970-46BD-9D6C-DBE4655B28F2}" presName="hierChild3" presStyleCnt="0"/>
      <dgm:spPr/>
    </dgm:pt>
  </dgm:ptLst>
  <dgm:cxnLst>
    <dgm:cxn modelId="{0D80041C-E6C4-4DC1-8B36-733C49212D1D}" type="presOf" srcId="{5F8471F6-D970-46BD-9D6C-DBE4655B28F2}" destId="{202C46B1-A590-4434-AF85-178802A84585}" srcOrd="1" destOrd="0" presId="urn:microsoft.com/office/officeart/2005/8/layout/orgChart1"/>
    <dgm:cxn modelId="{8ABE1C20-9796-4F1E-BDB4-FA8805C7DBE5}" type="presOf" srcId="{C6FAD400-62EA-4EA7-BE26-C33CC18037CD}" destId="{CBF0A1D4-FFD3-44C1-AB81-F5B2F548280A}" srcOrd="0" destOrd="0" presId="urn:microsoft.com/office/officeart/2005/8/layout/orgChart1"/>
    <dgm:cxn modelId="{78675D30-57CF-4643-895E-FA314BB874CC}" srcId="{5F8471F6-D970-46BD-9D6C-DBE4655B28F2}" destId="{C6FAD400-62EA-4EA7-BE26-C33CC18037CD}" srcOrd="1" destOrd="0" parTransId="{8C9C28AB-8251-46AF-A2E0-D67B932BF95D}" sibTransId="{428A0C18-A18A-4F7D-A153-899B28D9DE43}"/>
    <dgm:cxn modelId="{17C83A5F-A08B-40B7-83AB-7425B725C61B}" srcId="{BDC8FD73-2CAC-48AC-A683-88A8D56D2D83}" destId="{5F8471F6-D970-46BD-9D6C-DBE4655B28F2}" srcOrd="0" destOrd="0" parTransId="{52508B96-16C3-4245-868F-D07CDE1AE44F}" sibTransId="{79D6F21B-9A89-46B6-AA73-A8CF70C44EFB}"/>
    <dgm:cxn modelId="{30FCAC61-777C-449B-B1D0-0A5BF3F0A41A}" type="presOf" srcId="{C6FAD400-62EA-4EA7-BE26-C33CC18037CD}" destId="{90E4B8E0-E371-4AED-9BA6-99FB626DD27F}" srcOrd="1" destOrd="0" presId="urn:microsoft.com/office/officeart/2005/8/layout/orgChart1"/>
    <dgm:cxn modelId="{9DB7D366-66F5-4F17-98CF-4A7667BFC679}" type="presOf" srcId="{298993A1-383C-4BD2-8C91-3484F2449851}" destId="{8D53BD20-6717-4C95-A5BA-4BDBA13BC1D2}" srcOrd="0" destOrd="0" presId="urn:microsoft.com/office/officeart/2005/8/layout/orgChart1"/>
    <dgm:cxn modelId="{110E5E4F-0711-4D7D-92D2-C16B6C412736}" type="presOf" srcId="{DDCDC2AB-B1B8-4EAE-9461-2EBF3CB2E0BE}" destId="{A0148E30-BDA4-4BDA-B7A9-7C6D27E33432}" srcOrd="1" destOrd="0" presId="urn:microsoft.com/office/officeart/2005/8/layout/orgChart1"/>
    <dgm:cxn modelId="{A70CF654-A514-4FDC-B82F-CD12D4423434}" type="presOf" srcId="{298993A1-383C-4BD2-8C91-3484F2449851}" destId="{A0353188-9BB3-43A9-94B7-653D34CCDE12}" srcOrd="1" destOrd="0" presId="urn:microsoft.com/office/officeart/2005/8/layout/orgChart1"/>
    <dgm:cxn modelId="{D685A580-2511-4EBF-B0F2-DA8A21882429}" type="presOf" srcId="{5F8471F6-D970-46BD-9D6C-DBE4655B28F2}" destId="{FDFEB6C4-3AD4-4E8D-A3DB-9DC173C2AE51}" srcOrd="0" destOrd="0" presId="urn:microsoft.com/office/officeart/2005/8/layout/orgChart1"/>
    <dgm:cxn modelId="{E890EA90-401C-45C6-AA0F-2BDB5A1CF50A}" srcId="{5F8471F6-D970-46BD-9D6C-DBE4655B28F2}" destId="{298993A1-383C-4BD2-8C91-3484F2449851}" srcOrd="2" destOrd="0" parTransId="{99190F1A-4E55-44BB-8A8F-C815431B1BA1}" sibTransId="{4A36CFDE-FD26-4A9F-9834-9F583B551031}"/>
    <dgm:cxn modelId="{8DECBA99-EBA6-46B8-8B1C-A5C8C951D691}" type="presOf" srcId="{99190F1A-4E55-44BB-8A8F-C815431B1BA1}" destId="{AB08C79C-0A65-4705-B8AF-D13A361899FE}" srcOrd="0" destOrd="0" presId="urn:microsoft.com/office/officeart/2005/8/layout/orgChart1"/>
    <dgm:cxn modelId="{04A947A8-3691-4DF6-B9EA-786FFDD7A34A}" srcId="{5F8471F6-D970-46BD-9D6C-DBE4655B28F2}" destId="{DDCDC2AB-B1B8-4EAE-9461-2EBF3CB2E0BE}" srcOrd="0" destOrd="0" parTransId="{AA10625B-110D-41C9-8052-718A4F2B8902}" sibTransId="{C75D0B53-E42F-4603-9C92-E91945BC2FDD}"/>
    <dgm:cxn modelId="{5EABD3BA-748A-42A7-AF63-E06539BFB5BF}" type="presOf" srcId="{8C9C28AB-8251-46AF-A2E0-D67B932BF95D}" destId="{94CC7732-A25D-43DC-A2A3-BF5E156D5595}" srcOrd="0" destOrd="0" presId="urn:microsoft.com/office/officeart/2005/8/layout/orgChart1"/>
    <dgm:cxn modelId="{50BF1CC2-AFA3-480D-A969-AD01F753E3B0}" type="presOf" srcId="{DDCDC2AB-B1B8-4EAE-9461-2EBF3CB2E0BE}" destId="{1EA91CD1-2FB9-4CDF-B966-13AA936BA1DB}" srcOrd="0" destOrd="0" presId="urn:microsoft.com/office/officeart/2005/8/layout/orgChart1"/>
    <dgm:cxn modelId="{581985C6-58AD-49E6-ADE0-3CA00C2AE6FD}" type="presOf" srcId="{BDC8FD73-2CAC-48AC-A683-88A8D56D2D83}" destId="{21522A1C-5404-44B2-8D94-8AD3F69D9C44}" srcOrd="0" destOrd="0" presId="urn:microsoft.com/office/officeart/2005/8/layout/orgChart1"/>
    <dgm:cxn modelId="{196106EE-A787-4A5B-9992-FD9AD3327F6F}" type="presOf" srcId="{AA10625B-110D-41C9-8052-718A4F2B8902}" destId="{D473E0EE-859A-4AB5-B0EB-ECE777352E99}" srcOrd="0" destOrd="0" presId="urn:microsoft.com/office/officeart/2005/8/layout/orgChart1"/>
    <dgm:cxn modelId="{79C0C105-D0A5-437F-91B1-AD3A45D8D0A7}" type="presParOf" srcId="{21522A1C-5404-44B2-8D94-8AD3F69D9C44}" destId="{AD22829D-8BA0-4A71-85C9-C9C8EC70606C}" srcOrd="0" destOrd="0" presId="urn:microsoft.com/office/officeart/2005/8/layout/orgChart1"/>
    <dgm:cxn modelId="{8690176F-53F4-4FFE-A909-C82AE547BA28}" type="presParOf" srcId="{AD22829D-8BA0-4A71-85C9-C9C8EC70606C}" destId="{EA566368-3B2E-4B91-A113-18F64B762DA2}" srcOrd="0" destOrd="0" presId="urn:microsoft.com/office/officeart/2005/8/layout/orgChart1"/>
    <dgm:cxn modelId="{65B425A8-3C68-4237-91FF-0524F318AC40}" type="presParOf" srcId="{EA566368-3B2E-4B91-A113-18F64B762DA2}" destId="{FDFEB6C4-3AD4-4E8D-A3DB-9DC173C2AE51}" srcOrd="0" destOrd="0" presId="urn:microsoft.com/office/officeart/2005/8/layout/orgChart1"/>
    <dgm:cxn modelId="{38891006-3603-40A4-B0D6-74E4588DC3D3}" type="presParOf" srcId="{EA566368-3B2E-4B91-A113-18F64B762DA2}" destId="{202C46B1-A590-4434-AF85-178802A84585}" srcOrd="1" destOrd="0" presId="urn:microsoft.com/office/officeart/2005/8/layout/orgChart1"/>
    <dgm:cxn modelId="{74E4D077-B285-4BF9-B5B3-28008F91C3AA}" type="presParOf" srcId="{AD22829D-8BA0-4A71-85C9-C9C8EC70606C}" destId="{C02E76DD-E69A-4DAD-B995-830A3FA270A3}" srcOrd="1" destOrd="0" presId="urn:microsoft.com/office/officeart/2005/8/layout/orgChart1"/>
    <dgm:cxn modelId="{37314EE5-C658-4531-9050-2E0CE2A77D99}" type="presParOf" srcId="{C02E76DD-E69A-4DAD-B995-830A3FA270A3}" destId="{D473E0EE-859A-4AB5-B0EB-ECE777352E99}" srcOrd="0" destOrd="0" presId="urn:microsoft.com/office/officeart/2005/8/layout/orgChart1"/>
    <dgm:cxn modelId="{41B3CED2-750C-4E6C-BE92-6FE85B9D344F}" type="presParOf" srcId="{C02E76DD-E69A-4DAD-B995-830A3FA270A3}" destId="{0E7A02E6-9F68-47FA-AB9C-01DBA93D5E15}" srcOrd="1" destOrd="0" presId="urn:microsoft.com/office/officeart/2005/8/layout/orgChart1"/>
    <dgm:cxn modelId="{1E1DA63B-E74E-420A-B3F0-DDDF50FBCFFB}" type="presParOf" srcId="{0E7A02E6-9F68-47FA-AB9C-01DBA93D5E15}" destId="{FBCE01EF-6938-4E65-A8BA-84A3EB2FD28E}" srcOrd="0" destOrd="0" presId="urn:microsoft.com/office/officeart/2005/8/layout/orgChart1"/>
    <dgm:cxn modelId="{7371CD49-F5C5-4128-BC7C-34FB7DD3C2F3}" type="presParOf" srcId="{FBCE01EF-6938-4E65-A8BA-84A3EB2FD28E}" destId="{1EA91CD1-2FB9-4CDF-B966-13AA936BA1DB}" srcOrd="0" destOrd="0" presId="urn:microsoft.com/office/officeart/2005/8/layout/orgChart1"/>
    <dgm:cxn modelId="{B32B38A1-5A0E-4AD0-9CA0-ED01484AC692}" type="presParOf" srcId="{FBCE01EF-6938-4E65-A8BA-84A3EB2FD28E}" destId="{A0148E30-BDA4-4BDA-B7A9-7C6D27E33432}" srcOrd="1" destOrd="0" presId="urn:microsoft.com/office/officeart/2005/8/layout/orgChart1"/>
    <dgm:cxn modelId="{83F9CEC9-2676-4B48-99C8-BC8C66165269}" type="presParOf" srcId="{0E7A02E6-9F68-47FA-AB9C-01DBA93D5E15}" destId="{F8D6315A-ADD8-474B-8621-510F332C6560}" srcOrd="1" destOrd="0" presId="urn:microsoft.com/office/officeart/2005/8/layout/orgChart1"/>
    <dgm:cxn modelId="{3EDB501F-BB99-48D9-94EB-64E69D5F8C43}" type="presParOf" srcId="{0E7A02E6-9F68-47FA-AB9C-01DBA93D5E15}" destId="{C00048F2-1331-446B-8855-AF6C6A1D44A0}" srcOrd="2" destOrd="0" presId="urn:microsoft.com/office/officeart/2005/8/layout/orgChart1"/>
    <dgm:cxn modelId="{79D1585E-3AFF-4AEB-B9BB-5E1A014BF210}" type="presParOf" srcId="{C02E76DD-E69A-4DAD-B995-830A3FA270A3}" destId="{94CC7732-A25D-43DC-A2A3-BF5E156D5595}" srcOrd="2" destOrd="0" presId="urn:microsoft.com/office/officeart/2005/8/layout/orgChart1"/>
    <dgm:cxn modelId="{8E722261-A0BD-4655-8067-B609D6E1980F}" type="presParOf" srcId="{C02E76DD-E69A-4DAD-B995-830A3FA270A3}" destId="{891B9246-793C-4EED-A16B-714545EFDF21}" srcOrd="3" destOrd="0" presId="urn:microsoft.com/office/officeart/2005/8/layout/orgChart1"/>
    <dgm:cxn modelId="{000FD773-26DF-4ED7-8FC5-C574805F3C63}" type="presParOf" srcId="{891B9246-793C-4EED-A16B-714545EFDF21}" destId="{DA185AEC-79AE-49FA-9F5E-39F2F4CAB06C}" srcOrd="0" destOrd="0" presId="urn:microsoft.com/office/officeart/2005/8/layout/orgChart1"/>
    <dgm:cxn modelId="{C7FF7987-C553-4B72-BB7F-084D76B071E0}" type="presParOf" srcId="{DA185AEC-79AE-49FA-9F5E-39F2F4CAB06C}" destId="{CBF0A1D4-FFD3-44C1-AB81-F5B2F548280A}" srcOrd="0" destOrd="0" presId="urn:microsoft.com/office/officeart/2005/8/layout/orgChart1"/>
    <dgm:cxn modelId="{6E69E76A-0560-41CE-9312-B725B1440559}" type="presParOf" srcId="{DA185AEC-79AE-49FA-9F5E-39F2F4CAB06C}" destId="{90E4B8E0-E371-4AED-9BA6-99FB626DD27F}" srcOrd="1" destOrd="0" presId="urn:microsoft.com/office/officeart/2005/8/layout/orgChart1"/>
    <dgm:cxn modelId="{C7B1B9F4-47E1-40D0-ADD6-E80E4F0EF260}" type="presParOf" srcId="{891B9246-793C-4EED-A16B-714545EFDF21}" destId="{C971D621-7AAA-4AB6-B476-53A1F05ED467}" srcOrd="1" destOrd="0" presId="urn:microsoft.com/office/officeart/2005/8/layout/orgChart1"/>
    <dgm:cxn modelId="{000A8E44-35B7-4FA4-88D2-5CC3C7DAECA5}" type="presParOf" srcId="{891B9246-793C-4EED-A16B-714545EFDF21}" destId="{4B7940DE-13E8-4B39-8846-BC8A2624BE11}" srcOrd="2" destOrd="0" presId="urn:microsoft.com/office/officeart/2005/8/layout/orgChart1"/>
    <dgm:cxn modelId="{F9ED2DF6-7CE3-4B0E-874D-58B09A666B79}" type="presParOf" srcId="{C02E76DD-E69A-4DAD-B995-830A3FA270A3}" destId="{AB08C79C-0A65-4705-B8AF-D13A361899FE}" srcOrd="4" destOrd="0" presId="urn:microsoft.com/office/officeart/2005/8/layout/orgChart1"/>
    <dgm:cxn modelId="{AB18E5B0-7AE4-4281-9C82-EE53A98B6355}" type="presParOf" srcId="{C02E76DD-E69A-4DAD-B995-830A3FA270A3}" destId="{74C22008-6F15-47BD-ADF0-60613A5BB576}" srcOrd="5" destOrd="0" presId="urn:microsoft.com/office/officeart/2005/8/layout/orgChart1"/>
    <dgm:cxn modelId="{C285F44D-586E-402C-8A39-EF9B4C7B55EB}" type="presParOf" srcId="{74C22008-6F15-47BD-ADF0-60613A5BB576}" destId="{1C85923A-ACDD-4263-B809-7AC7CFC921F0}" srcOrd="0" destOrd="0" presId="urn:microsoft.com/office/officeart/2005/8/layout/orgChart1"/>
    <dgm:cxn modelId="{48D0A725-2843-4D38-9836-B4061621548E}" type="presParOf" srcId="{1C85923A-ACDD-4263-B809-7AC7CFC921F0}" destId="{8D53BD20-6717-4C95-A5BA-4BDBA13BC1D2}" srcOrd="0" destOrd="0" presId="urn:microsoft.com/office/officeart/2005/8/layout/orgChart1"/>
    <dgm:cxn modelId="{BD5AF023-15B1-4994-AD62-A4603A9E1F21}" type="presParOf" srcId="{1C85923A-ACDD-4263-B809-7AC7CFC921F0}" destId="{A0353188-9BB3-43A9-94B7-653D34CCDE12}" srcOrd="1" destOrd="0" presId="urn:microsoft.com/office/officeart/2005/8/layout/orgChart1"/>
    <dgm:cxn modelId="{8231FF2F-9866-4FAC-91ED-E1DFFCF927BE}" type="presParOf" srcId="{74C22008-6F15-47BD-ADF0-60613A5BB576}" destId="{AF3CC488-6263-44E4-8BCD-BA14173AD6B7}" srcOrd="1" destOrd="0" presId="urn:microsoft.com/office/officeart/2005/8/layout/orgChart1"/>
    <dgm:cxn modelId="{17DF831C-6B80-47F3-A057-CB2DBE6AD24F}" type="presParOf" srcId="{74C22008-6F15-47BD-ADF0-60613A5BB576}" destId="{0FAC389B-4931-4DE6-A29B-67538371C4EA}" srcOrd="2" destOrd="0" presId="urn:microsoft.com/office/officeart/2005/8/layout/orgChart1"/>
    <dgm:cxn modelId="{B8BE1C5D-7152-494A-A412-9653451BBEAA}" type="presParOf" srcId="{AD22829D-8BA0-4A71-85C9-C9C8EC70606C}" destId="{CDDCB558-2411-4C4D-8C56-8552F3C1A104}" srcOrd="2" destOrd="0" presId="urn:microsoft.com/office/officeart/2005/8/layout/orgChart1"/>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B08C79C-0A65-4705-B8AF-D13A361899FE}">
      <dsp:nvSpPr>
        <dsp:cNvPr id="0" name=""/>
        <dsp:cNvSpPr/>
      </dsp:nvSpPr>
      <dsp:spPr>
        <a:xfrm>
          <a:off x="2743200" y="1431780"/>
          <a:ext cx="1940834" cy="336838"/>
        </a:xfrm>
        <a:custGeom>
          <a:avLst/>
          <a:gdLst/>
          <a:ahLst/>
          <a:cxnLst/>
          <a:rect l="0" t="0" r="0" b="0"/>
          <a:pathLst>
            <a:path>
              <a:moveTo>
                <a:pt x="0" y="0"/>
              </a:moveTo>
              <a:lnTo>
                <a:pt x="0" y="168419"/>
              </a:lnTo>
              <a:lnTo>
                <a:pt x="1940834" y="168419"/>
              </a:lnTo>
              <a:lnTo>
                <a:pt x="1940834" y="33683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4CC7732-A25D-43DC-A2A3-BF5E156D5595}">
      <dsp:nvSpPr>
        <dsp:cNvPr id="0" name=""/>
        <dsp:cNvSpPr/>
      </dsp:nvSpPr>
      <dsp:spPr>
        <a:xfrm>
          <a:off x="2697479" y="1431780"/>
          <a:ext cx="91440" cy="336838"/>
        </a:xfrm>
        <a:custGeom>
          <a:avLst/>
          <a:gdLst/>
          <a:ahLst/>
          <a:cxnLst/>
          <a:rect l="0" t="0" r="0" b="0"/>
          <a:pathLst>
            <a:path>
              <a:moveTo>
                <a:pt x="45720" y="0"/>
              </a:moveTo>
              <a:lnTo>
                <a:pt x="45720" y="33683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473E0EE-859A-4AB5-B0EB-ECE777352E99}">
      <dsp:nvSpPr>
        <dsp:cNvPr id="0" name=""/>
        <dsp:cNvSpPr/>
      </dsp:nvSpPr>
      <dsp:spPr>
        <a:xfrm>
          <a:off x="802365" y="1431780"/>
          <a:ext cx="1940834" cy="336838"/>
        </a:xfrm>
        <a:custGeom>
          <a:avLst/>
          <a:gdLst/>
          <a:ahLst/>
          <a:cxnLst/>
          <a:rect l="0" t="0" r="0" b="0"/>
          <a:pathLst>
            <a:path>
              <a:moveTo>
                <a:pt x="1940834" y="0"/>
              </a:moveTo>
              <a:lnTo>
                <a:pt x="1940834" y="168419"/>
              </a:lnTo>
              <a:lnTo>
                <a:pt x="0" y="168419"/>
              </a:lnTo>
              <a:lnTo>
                <a:pt x="0" y="33683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DFEB6C4-3AD4-4E8D-A3DB-9DC173C2AE51}">
      <dsp:nvSpPr>
        <dsp:cNvPr id="0" name=""/>
        <dsp:cNvSpPr/>
      </dsp:nvSpPr>
      <dsp:spPr>
        <a:xfrm>
          <a:off x="1941202" y="629782"/>
          <a:ext cx="1603995" cy="80199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marL="0" lvl="0" indent="0" algn="ctr" defTabSz="844550">
            <a:lnSpc>
              <a:spcPct val="90000"/>
            </a:lnSpc>
            <a:spcBef>
              <a:spcPct val="0"/>
            </a:spcBef>
            <a:spcAft>
              <a:spcPct val="35000"/>
            </a:spcAft>
            <a:buNone/>
          </a:pPr>
          <a:r>
            <a:rPr lang="en-IN" sz="1900" kern="1200"/>
            <a:t>Dividend  Discount Model</a:t>
          </a:r>
        </a:p>
      </dsp:txBody>
      <dsp:txXfrm>
        <a:off x="1941202" y="629782"/>
        <a:ext cx="1603995" cy="801997"/>
      </dsp:txXfrm>
    </dsp:sp>
    <dsp:sp modelId="{1EA91CD1-2FB9-4CDF-B966-13AA936BA1DB}">
      <dsp:nvSpPr>
        <dsp:cNvPr id="0" name=""/>
        <dsp:cNvSpPr/>
      </dsp:nvSpPr>
      <dsp:spPr>
        <a:xfrm>
          <a:off x="368" y="1768619"/>
          <a:ext cx="1603995" cy="80199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marL="0" lvl="0" indent="0" algn="ctr" defTabSz="844550">
            <a:lnSpc>
              <a:spcPct val="90000"/>
            </a:lnSpc>
            <a:spcBef>
              <a:spcPct val="0"/>
            </a:spcBef>
            <a:spcAft>
              <a:spcPct val="35000"/>
            </a:spcAft>
            <a:buNone/>
          </a:pPr>
          <a:r>
            <a:rPr lang="en-IN" sz="1900" kern="1200"/>
            <a:t>Zero Growth Model</a:t>
          </a:r>
        </a:p>
      </dsp:txBody>
      <dsp:txXfrm>
        <a:off x="368" y="1768619"/>
        <a:ext cx="1603995" cy="801997"/>
      </dsp:txXfrm>
    </dsp:sp>
    <dsp:sp modelId="{CBF0A1D4-FFD3-44C1-AB81-F5B2F548280A}">
      <dsp:nvSpPr>
        <dsp:cNvPr id="0" name=""/>
        <dsp:cNvSpPr/>
      </dsp:nvSpPr>
      <dsp:spPr>
        <a:xfrm>
          <a:off x="1941202" y="1768619"/>
          <a:ext cx="1603995" cy="80199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marL="0" lvl="0" indent="0" algn="ctr" defTabSz="844550">
            <a:lnSpc>
              <a:spcPct val="90000"/>
            </a:lnSpc>
            <a:spcBef>
              <a:spcPct val="0"/>
            </a:spcBef>
            <a:spcAft>
              <a:spcPct val="35000"/>
            </a:spcAft>
            <a:buNone/>
          </a:pPr>
          <a:r>
            <a:rPr lang="en-IN" sz="1900" kern="1200"/>
            <a:t>Constant Growth Model</a:t>
          </a:r>
        </a:p>
      </dsp:txBody>
      <dsp:txXfrm>
        <a:off x="1941202" y="1768619"/>
        <a:ext cx="1603995" cy="801997"/>
      </dsp:txXfrm>
    </dsp:sp>
    <dsp:sp modelId="{8D53BD20-6717-4C95-A5BA-4BDBA13BC1D2}">
      <dsp:nvSpPr>
        <dsp:cNvPr id="0" name=""/>
        <dsp:cNvSpPr/>
      </dsp:nvSpPr>
      <dsp:spPr>
        <a:xfrm>
          <a:off x="3882036" y="1768619"/>
          <a:ext cx="1603995" cy="80199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marL="0" lvl="0" indent="0" algn="ctr" defTabSz="844550">
            <a:lnSpc>
              <a:spcPct val="90000"/>
            </a:lnSpc>
            <a:spcBef>
              <a:spcPct val="0"/>
            </a:spcBef>
            <a:spcAft>
              <a:spcPct val="35000"/>
            </a:spcAft>
            <a:buNone/>
          </a:pPr>
          <a:r>
            <a:rPr lang="en-IN" sz="1900" kern="1200"/>
            <a:t>Multiple Growth Model</a:t>
          </a:r>
        </a:p>
      </dsp:txBody>
      <dsp:txXfrm>
        <a:off x="3882036" y="1768619"/>
        <a:ext cx="1603995" cy="80199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35</Pages>
  <Words>10785</Words>
  <Characters>61476</Characters>
  <Application>Microsoft Office Word</Application>
  <DocSecurity>0</DocSecurity>
  <Lines>512</Lines>
  <Paragraphs>144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deeparambhia927@gmail.com</dc:creator>
  <cp:keywords/>
  <dc:description/>
  <cp:lastModifiedBy>deeparambhia927@gmail.com</cp:lastModifiedBy>
  <cp:revision>3</cp:revision>
  <dcterms:created xsi:type="dcterms:W3CDTF">2023-09-22T07:21:00Z</dcterms:created>
  <dcterms:modified xsi:type="dcterms:W3CDTF">2023-09-22T07:24:00Z</dcterms:modified>
</cp:coreProperties>
</file>