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8D4C8C" w14:textId="007133C3" w:rsidR="00193F8E" w:rsidRPr="00E34BC6" w:rsidRDefault="00E34BC6" w:rsidP="00E34BC6">
      <w:pPr>
        <w:ind w:left="2880" w:firstLine="720"/>
        <w:rPr>
          <w:rFonts w:ascii="Arial" w:hAnsi="Arial" w:cs="Arial"/>
          <w:sz w:val="40"/>
          <w:szCs w:val="40"/>
        </w:rPr>
      </w:pPr>
      <w:r w:rsidRPr="00E34BC6">
        <w:rPr>
          <w:rFonts w:ascii="Arial" w:hAnsi="Arial" w:cs="Arial"/>
          <w:sz w:val="40"/>
          <w:szCs w:val="40"/>
        </w:rPr>
        <w:t>Module 2</w:t>
      </w:r>
    </w:p>
    <w:p w14:paraId="2B9E93B2" w14:textId="223174A9" w:rsidR="00E34BC6" w:rsidRDefault="00E34BC6" w:rsidP="00E34BC6">
      <w:pPr>
        <w:ind w:left="1440" w:firstLine="720"/>
        <w:rPr>
          <w:rFonts w:ascii="Arial" w:hAnsi="Arial" w:cs="Arial"/>
          <w:sz w:val="40"/>
          <w:szCs w:val="40"/>
        </w:rPr>
      </w:pPr>
      <w:r w:rsidRPr="00E34BC6">
        <w:rPr>
          <w:rFonts w:ascii="Arial" w:hAnsi="Arial" w:cs="Arial"/>
          <w:sz w:val="40"/>
          <w:szCs w:val="40"/>
        </w:rPr>
        <w:t>Futures and Hedging</w:t>
      </w:r>
    </w:p>
    <w:p w14:paraId="68BEC0D7" w14:textId="7ABF7AAF" w:rsidR="000D44D6" w:rsidRDefault="000D44D6" w:rsidP="00E34BC6">
      <w:pPr>
        <w:ind w:left="1440" w:firstLine="720"/>
        <w:rPr>
          <w:rFonts w:ascii="Arial" w:hAnsi="Arial" w:cs="Arial"/>
          <w:sz w:val="40"/>
          <w:szCs w:val="40"/>
        </w:rPr>
      </w:pPr>
      <w:r>
        <w:rPr>
          <w:rFonts w:ascii="Arial" w:hAnsi="Arial" w:cs="Arial"/>
          <w:sz w:val="40"/>
          <w:szCs w:val="40"/>
        </w:rPr>
        <w:t xml:space="preserve">            Futures</w:t>
      </w:r>
    </w:p>
    <w:p w14:paraId="0AF36987" w14:textId="3FC60787" w:rsidR="000D44D6" w:rsidRDefault="000D44D6" w:rsidP="000D44D6">
      <w:pPr>
        <w:rPr>
          <w:rFonts w:ascii="Arial" w:hAnsi="Arial" w:cs="Arial"/>
          <w:sz w:val="24"/>
          <w:szCs w:val="40"/>
        </w:rPr>
      </w:pPr>
      <w:r>
        <w:rPr>
          <w:rFonts w:ascii="Arial" w:hAnsi="Arial" w:cs="Arial"/>
          <w:sz w:val="24"/>
          <w:szCs w:val="40"/>
        </w:rPr>
        <w:t>Specifications of future contract</w:t>
      </w:r>
      <w:r w:rsidR="007F1E97">
        <w:rPr>
          <w:rFonts w:ascii="Arial" w:hAnsi="Arial" w:cs="Arial"/>
          <w:sz w:val="24"/>
          <w:szCs w:val="40"/>
        </w:rPr>
        <w:t>:</w:t>
      </w:r>
    </w:p>
    <w:p w14:paraId="6B753FF5" w14:textId="77777777" w:rsidR="007F1E97" w:rsidRDefault="007F1E97" w:rsidP="000D44D6">
      <w:pPr>
        <w:rPr>
          <w:rFonts w:ascii="Arial" w:hAnsi="Arial" w:cs="Arial"/>
          <w:sz w:val="24"/>
          <w:szCs w:val="40"/>
        </w:rPr>
      </w:pPr>
      <w:r>
        <w:rPr>
          <w:rFonts w:ascii="Arial" w:hAnsi="Arial" w:cs="Arial"/>
          <w:sz w:val="24"/>
          <w:szCs w:val="40"/>
        </w:rPr>
        <w:t xml:space="preserve">Futures are derivatives. They are </w:t>
      </w:r>
    </w:p>
    <w:p w14:paraId="5CF41CBB" w14:textId="03F5DAAC" w:rsidR="007F1E97" w:rsidRDefault="007F1E97" w:rsidP="007F1E97">
      <w:pPr>
        <w:pStyle w:val="ListParagraph"/>
        <w:numPr>
          <w:ilvl w:val="0"/>
          <w:numId w:val="1"/>
        </w:numPr>
        <w:rPr>
          <w:rFonts w:ascii="Arial" w:hAnsi="Arial" w:cs="Arial"/>
          <w:sz w:val="24"/>
          <w:szCs w:val="40"/>
        </w:rPr>
      </w:pPr>
      <w:r>
        <w:rPr>
          <w:rFonts w:ascii="Arial" w:hAnsi="Arial" w:cs="Arial"/>
          <w:sz w:val="24"/>
          <w:szCs w:val="40"/>
        </w:rPr>
        <w:t>T</w:t>
      </w:r>
      <w:r w:rsidRPr="007F1E97">
        <w:rPr>
          <w:rFonts w:ascii="Arial" w:hAnsi="Arial" w:cs="Arial"/>
          <w:sz w:val="24"/>
          <w:szCs w:val="40"/>
        </w:rPr>
        <w:t>raded in the exchanges</w:t>
      </w:r>
      <w:r w:rsidR="00133AA5">
        <w:rPr>
          <w:rFonts w:ascii="Arial" w:hAnsi="Arial" w:cs="Arial"/>
          <w:sz w:val="24"/>
          <w:szCs w:val="40"/>
        </w:rPr>
        <w:t xml:space="preserve">, </w:t>
      </w:r>
      <w:proofErr w:type="spellStart"/>
      <w:r w:rsidR="00133AA5">
        <w:rPr>
          <w:rFonts w:ascii="Arial" w:hAnsi="Arial" w:cs="Arial"/>
          <w:sz w:val="24"/>
          <w:szCs w:val="40"/>
        </w:rPr>
        <w:t>eg</w:t>
      </w:r>
      <w:proofErr w:type="spellEnd"/>
      <w:r w:rsidR="00133AA5">
        <w:rPr>
          <w:rFonts w:ascii="Arial" w:hAnsi="Arial" w:cs="Arial"/>
          <w:sz w:val="24"/>
          <w:szCs w:val="40"/>
        </w:rPr>
        <w:t xml:space="preserve"> NSE, MCX</w:t>
      </w:r>
    </w:p>
    <w:p w14:paraId="0991C180" w14:textId="09D29D21" w:rsidR="007F1E97" w:rsidRDefault="007F1E97" w:rsidP="007F1E97">
      <w:pPr>
        <w:pStyle w:val="ListParagraph"/>
        <w:numPr>
          <w:ilvl w:val="0"/>
          <w:numId w:val="1"/>
        </w:numPr>
        <w:rPr>
          <w:rFonts w:ascii="Arial" w:hAnsi="Arial" w:cs="Arial"/>
          <w:sz w:val="24"/>
          <w:szCs w:val="40"/>
        </w:rPr>
      </w:pPr>
      <w:r>
        <w:rPr>
          <w:rFonts w:ascii="Arial" w:hAnsi="Arial" w:cs="Arial"/>
          <w:sz w:val="24"/>
          <w:szCs w:val="40"/>
        </w:rPr>
        <w:t>Based on an underlying</w:t>
      </w:r>
      <w:r w:rsidR="00133AA5">
        <w:rPr>
          <w:rFonts w:ascii="Arial" w:hAnsi="Arial" w:cs="Arial"/>
          <w:sz w:val="24"/>
          <w:szCs w:val="40"/>
        </w:rPr>
        <w:t xml:space="preserve"> </w:t>
      </w:r>
      <w:proofErr w:type="spellStart"/>
      <w:r w:rsidR="00133AA5">
        <w:rPr>
          <w:rFonts w:ascii="Arial" w:hAnsi="Arial" w:cs="Arial"/>
          <w:sz w:val="24"/>
          <w:szCs w:val="40"/>
        </w:rPr>
        <w:t>eg</w:t>
      </w:r>
      <w:proofErr w:type="spellEnd"/>
      <w:r w:rsidR="00133AA5">
        <w:rPr>
          <w:rFonts w:ascii="Arial" w:hAnsi="Arial" w:cs="Arial"/>
          <w:sz w:val="24"/>
          <w:szCs w:val="40"/>
        </w:rPr>
        <w:t xml:space="preserve"> commodities, equity shares, currencies, etc</w:t>
      </w:r>
    </w:p>
    <w:p w14:paraId="50C40219" w14:textId="0D69951F" w:rsidR="007F1E97" w:rsidRDefault="007F1E97" w:rsidP="007F1E97">
      <w:pPr>
        <w:pStyle w:val="ListParagraph"/>
        <w:numPr>
          <w:ilvl w:val="0"/>
          <w:numId w:val="1"/>
        </w:numPr>
        <w:rPr>
          <w:rFonts w:ascii="Arial" w:hAnsi="Arial" w:cs="Arial"/>
          <w:sz w:val="24"/>
          <w:szCs w:val="40"/>
        </w:rPr>
      </w:pPr>
      <w:r>
        <w:rPr>
          <w:rFonts w:ascii="Arial" w:hAnsi="Arial" w:cs="Arial"/>
          <w:sz w:val="24"/>
          <w:szCs w:val="40"/>
        </w:rPr>
        <w:t>Standardised in form</w:t>
      </w:r>
      <w:r w:rsidR="00133AA5">
        <w:rPr>
          <w:rFonts w:ascii="Arial" w:hAnsi="Arial" w:cs="Arial"/>
          <w:sz w:val="24"/>
          <w:szCs w:val="40"/>
        </w:rPr>
        <w:t xml:space="preserve"> </w:t>
      </w:r>
    </w:p>
    <w:p w14:paraId="272073F5" w14:textId="79D02F30" w:rsidR="007F1E97" w:rsidRDefault="007F1E97" w:rsidP="007F1E97">
      <w:pPr>
        <w:pStyle w:val="ListParagraph"/>
        <w:numPr>
          <w:ilvl w:val="0"/>
          <w:numId w:val="1"/>
        </w:numPr>
        <w:rPr>
          <w:rFonts w:ascii="Arial" w:hAnsi="Arial" w:cs="Arial"/>
          <w:sz w:val="24"/>
          <w:szCs w:val="40"/>
        </w:rPr>
      </w:pPr>
      <w:r>
        <w:rPr>
          <w:rFonts w:ascii="Arial" w:hAnsi="Arial" w:cs="Arial"/>
          <w:sz w:val="24"/>
          <w:szCs w:val="40"/>
        </w:rPr>
        <w:t>Have an expiry date which is a future date.</w:t>
      </w:r>
    </w:p>
    <w:p w14:paraId="5867BF38" w14:textId="57741BC5" w:rsidR="007F1E97" w:rsidRDefault="007F1E97" w:rsidP="007F1E97">
      <w:pPr>
        <w:pStyle w:val="ListParagraph"/>
        <w:numPr>
          <w:ilvl w:val="0"/>
          <w:numId w:val="1"/>
        </w:numPr>
        <w:rPr>
          <w:rFonts w:ascii="Arial" w:hAnsi="Arial" w:cs="Arial"/>
          <w:sz w:val="24"/>
          <w:szCs w:val="40"/>
        </w:rPr>
      </w:pPr>
      <w:r>
        <w:rPr>
          <w:rFonts w:ascii="Arial" w:hAnsi="Arial" w:cs="Arial"/>
          <w:sz w:val="24"/>
          <w:szCs w:val="40"/>
        </w:rPr>
        <w:t xml:space="preserve">Prices depend upon the </w:t>
      </w:r>
      <w:r w:rsidR="00133AA5">
        <w:rPr>
          <w:rFonts w:ascii="Arial" w:hAnsi="Arial" w:cs="Arial"/>
          <w:sz w:val="24"/>
          <w:szCs w:val="40"/>
        </w:rPr>
        <w:t>pric</w:t>
      </w:r>
      <w:r w:rsidR="00150FDE">
        <w:rPr>
          <w:rFonts w:ascii="Arial" w:hAnsi="Arial" w:cs="Arial"/>
          <w:sz w:val="24"/>
          <w:szCs w:val="40"/>
        </w:rPr>
        <w:t>es</w:t>
      </w:r>
      <w:r w:rsidR="00133AA5">
        <w:rPr>
          <w:rFonts w:ascii="Arial" w:hAnsi="Arial" w:cs="Arial"/>
          <w:sz w:val="24"/>
          <w:szCs w:val="40"/>
        </w:rPr>
        <w:t xml:space="preserve"> of the underlying. So </w:t>
      </w:r>
      <w:proofErr w:type="spellStart"/>
      <w:r w:rsidR="00133AA5">
        <w:rPr>
          <w:rFonts w:ascii="Arial" w:hAnsi="Arial" w:cs="Arial"/>
          <w:sz w:val="24"/>
          <w:szCs w:val="40"/>
        </w:rPr>
        <w:t>varuiations</w:t>
      </w:r>
      <w:proofErr w:type="spellEnd"/>
      <w:r w:rsidR="00133AA5">
        <w:rPr>
          <w:rFonts w:ascii="Arial" w:hAnsi="Arial" w:cs="Arial"/>
          <w:sz w:val="24"/>
          <w:szCs w:val="40"/>
        </w:rPr>
        <w:t xml:space="preserve"> in the future market reflect the variation in the spot market</w:t>
      </w:r>
    </w:p>
    <w:p w14:paraId="5DF4AE36" w14:textId="73546D2D" w:rsidR="00133AA5" w:rsidRDefault="00133AA5" w:rsidP="007F1E97">
      <w:pPr>
        <w:pStyle w:val="ListParagraph"/>
        <w:numPr>
          <w:ilvl w:val="0"/>
          <w:numId w:val="1"/>
        </w:numPr>
        <w:rPr>
          <w:rFonts w:ascii="Arial" w:hAnsi="Arial" w:cs="Arial"/>
          <w:sz w:val="24"/>
          <w:szCs w:val="40"/>
        </w:rPr>
      </w:pPr>
      <w:r>
        <w:rPr>
          <w:rFonts w:ascii="Arial" w:hAnsi="Arial" w:cs="Arial"/>
          <w:sz w:val="24"/>
          <w:szCs w:val="40"/>
        </w:rPr>
        <w:t>Trading of the futures are don</w:t>
      </w:r>
      <w:r w:rsidR="00150FDE">
        <w:rPr>
          <w:rFonts w:ascii="Arial" w:hAnsi="Arial" w:cs="Arial"/>
          <w:sz w:val="24"/>
          <w:szCs w:val="40"/>
        </w:rPr>
        <w:t>e</w:t>
      </w:r>
      <w:r>
        <w:rPr>
          <w:rFonts w:ascii="Arial" w:hAnsi="Arial" w:cs="Arial"/>
          <w:sz w:val="24"/>
          <w:szCs w:val="40"/>
        </w:rPr>
        <w:t xml:space="preserve"> for speculation and hedging.</w:t>
      </w:r>
    </w:p>
    <w:p w14:paraId="288FC34B" w14:textId="2E1CFE31" w:rsidR="00133AA5" w:rsidRDefault="00150FDE" w:rsidP="00133AA5">
      <w:pPr>
        <w:rPr>
          <w:rFonts w:ascii="Arial" w:hAnsi="Arial" w:cs="Arial"/>
          <w:sz w:val="24"/>
          <w:szCs w:val="40"/>
        </w:rPr>
      </w:pPr>
      <w:r>
        <w:rPr>
          <w:rFonts w:ascii="Arial" w:hAnsi="Arial" w:cs="Arial"/>
          <w:sz w:val="24"/>
          <w:szCs w:val="40"/>
        </w:rPr>
        <w:t>Hence the contract specifications of the exchange</w:t>
      </w:r>
      <w:r w:rsidR="00517619">
        <w:rPr>
          <w:rFonts w:ascii="Arial" w:hAnsi="Arial" w:cs="Arial"/>
          <w:sz w:val="24"/>
          <w:szCs w:val="40"/>
        </w:rPr>
        <w:t xml:space="preserve"> along with an example of MCX </w:t>
      </w:r>
      <w:proofErr w:type="spellStart"/>
      <w:r w:rsidR="00517619">
        <w:rPr>
          <w:rFonts w:ascii="Arial" w:hAnsi="Arial" w:cs="Arial"/>
          <w:sz w:val="24"/>
          <w:szCs w:val="40"/>
        </w:rPr>
        <w:t>iCOMDEX</w:t>
      </w:r>
      <w:proofErr w:type="spellEnd"/>
      <w:r w:rsidR="00517619">
        <w:rPr>
          <w:rFonts w:ascii="Arial" w:hAnsi="Arial" w:cs="Arial"/>
          <w:sz w:val="24"/>
          <w:szCs w:val="40"/>
        </w:rPr>
        <w:t xml:space="preserve"> Bullion Index Futures is given below</w:t>
      </w:r>
    </w:p>
    <w:p w14:paraId="6BDCB882" w14:textId="77777777" w:rsidR="00517619" w:rsidRDefault="00517619" w:rsidP="00517619">
      <w:pPr>
        <w:ind w:left="17" w:right="4"/>
        <w:jc w:val="center"/>
        <w:rPr>
          <w:b/>
          <w:sz w:val="24"/>
        </w:rPr>
      </w:pPr>
      <w:r>
        <w:rPr>
          <w:b/>
          <w:sz w:val="24"/>
        </w:rPr>
        <w:t>Contract</w:t>
      </w:r>
      <w:r>
        <w:rPr>
          <w:b/>
          <w:spacing w:val="-4"/>
          <w:sz w:val="24"/>
        </w:rPr>
        <w:t xml:space="preserve"> </w:t>
      </w:r>
      <w:r>
        <w:rPr>
          <w:b/>
          <w:sz w:val="24"/>
        </w:rPr>
        <w:t>Specifications</w:t>
      </w:r>
      <w:r>
        <w:rPr>
          <w:b/>
          <w:spacing w:val="-1"/>
          <w:sz w:val="24"/>
        </w:rPr>
        <w:t xml:space="preserve"> </w:t>
      </w:r>
      <w:r>
        <w:rPr>
          <w:b/>
          <w:sz w:val="24"/>
        </w:rPr>
        <w:t>of</w:t>
      </w:r>
      <w:r>
        <w:rPr>
          <w:b/>
          <w:spacing w:val="-1"/>
          <w:sz w:val="24"/>
        </w:rPr>
        <w:t xml:space="preserve"> </w:t>
      </w:r>
      <w:r>
        <w:rPr>
          <w:b/>
          <w:sz w:val="24"/>
        </w:rPr>
        <w:t>MCX</w:t>
      </w:r>
      <w:r>
        <w:rPr>
          <w:b/>
          <w:spacing w:val="-2"/>
          <w:sz w:val="24"/>
        </w:rPr>
        <w:t xml:space="preserve"> </w:t>
      </w:r>
      <w:proofErr w:type="spellStart"/>
      <w:r>
        <w:rPr>
          <w:b/>
          <w:sz w:val="24"/>
        </w:rPr>
        <w:t>iCOMDEX</w:t>
      </w:r>
      <w:proofErr w:type="spellEnd"/>
      <w:r>
        <w:rPr>
          <w:b/>
          <w:spacing w:val="-2"/>
          <w:sz w:val="24"/>
        </w:rPr>
        <w:t xml:space="preserve"> </w:t>
      </w:r>
      <w:r>
        <w:rPr>
          <w:b/>
          <w:sz w:val="24"/>
        </w:rPr>
        <w:t>Bullion Index</w:t>
      </w:r>
      <w:r>
        <w:rPr>
          <w:b/>
          <w:spacing w:val="-1"/>
          <w:sz w:val="24"/>
        </w:rPr>
        <w:t xml:space="preserve"> </w:t>
      </w:r>
      <w:r>
        <w:rPr>
          <w:b/>
          <w:spacing w:val="-2"/>
          <w:sz w:val="24"/>
        </w:rPr>
        <w:t>Futures</w:t>
      </w:r>
    </w:p>
    <w:p w14:paraId="0D9F4EF0" w14:textId="77777777" w:rsidR="00517619" w:rsidRDefault="00517619" w:rsidP="00517619">
      <w:pPr>
        <w:pStyle w:val="BodyText"/>
        <w:spacing w:before="2"/>
        <w:rPr>
          <w:b/>
          <w:sz w:val="16"/>
        </w:rPr>
      </w:pPr>
    </w:p>
    <w:tbl>
      <w:tblPr>
        <w:tblW w:w="0" w:type="auto"/>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561"/>
        <w:gridCol w:w="6800"/>
      </w:tblGrid>
      <w:tr w:rsidR="00517619" w14:paraId="27856A7A" w14:textId="77777777" w:rsidTr="00F731F9">
        <w:trPr>
          <w:trHeight w:val="275"/>
        </w:trPr>
        <w:tc>
          <w:tcPr>
            <w:tcW w:w="2561" w:type="dxa"/>
          </w:tcPr>
          <w:p w14:paraId="33A3FC78" w14:textId="77777777" w:rsidR="00517619" w:rsidRDefault="00517619" w:rsidP="00F731F9">
            <w:pPr>
              <w:pStyle w:val="TableParagraph"/>
              <w:spacing w:line="255" w:lineRule="exact"/>
              <w:ind w:left="107"/>
              <w:rPr>
                <w:b/>
                <w:sz w:val="24"/>
              </w:rPr>
            </w:pPr>
            <w:r>
              <w:rPr>
                <w:b/>
                <w:spacing w:val="-2"/>
                <w:sz w:val="24"/>
              </w:rPr>
              <w:t>Parameter</w:t>
            </w:r>
          </w:p>
        </w:tc>
        <w:tc>
          <w:tcPr>
            <w:tcW w:w="6800" w:type="dxa"/>
          </w:tcPr>
          <w:p w14:paraId="351952AC" w14:textId="77777777" w:rsidR="00517619" w:rsidRDefault="00517619" w:rsidP="00F731F9">
            <w:pPr>
              <w:pStyle w:val="TableParagraph"/>
              <w:spacing w:line="255" w:lineRule="exact"/>
              <w:rPr>
                <w:b/>
                <w:sz w:val="24"/>
              </w:rPr>
            </w:pPr>
            <w:r>
              <w:rPr>
                <w:b/>
                <w:spacing w:val="-2"/>
                <w:sz w:val="24"/>
              </w:rPr>
              <w:t>Particulars</w:t>
            </w:r>
          </w:p>
        </w:tc>
      </w:tr>
      <w:tr w:rsidR="00517619" w14:paraId="63DAC7A0" w14:textId="77777777" w:rsidTr="00F731F9">
        <w:trPr>
          <w:trHeight w:val="275"/>
        </w:trPr>
        <w:tc>
          <w:tcPr>
            <w:tcW w:w="2561" w:type="dxa"/>
          </w:tcPr>
          <w:p w14:paraId="44528391" w14:textId="77777777" w:rsidR="00517619" w:rsidRDefault="00517619" w:rsidP="00F731F9">
            <w:pPr>
              <w:pStyle w:val="TableParagraph"/>
              <w:spacing w:line="255" w:lineRule="exact"/>
              <w:ind w:left="107"/>
              <w:rPr>
                <w:b/>
                <w:sz w:val="24"/>
              </w:rPr>
            </w:pPr>
            <w:r>
              <w:rPr>
                <w:b/>
                <w:spacing w:val="-2"/>
                <w:sz w:val="24"/>
              </w:rPr>
              <w:t>Symbol</w:t>
            </w:r>
          </w:p>
        </w:tc>
        <w:tc>
          <w:tcPr>
            <w:tcW w:w="6800" w:type="dxa"/>
          </w:tcPr>
          <w:p w14:paraId="2C8E22D3" w14:textId="77777777" w:rsidR="00517619" w:rsidRDefault="00517619" w:rsidP="00F731F9">
            <w:pPr>
              <w:pStyle w:val="TableParagraph"/>
              <w:spacing w:line="255" w:lineRule="exact"/>
              <w:rPr>
                <w:sz w:val="24"/>
              </w:rPr>
            </w:pPr>
            <w:r>
              <w:rPr>
                <w:spacing w:val="-2"/>
                <w:sz w:val="24"/>
              </w:rPr>
              <w:t>MCXBULLDEX</w:t>
            </w:r>
          </w:p>
        </w:tc>
      </w:tr>
      <w:tr w:rsidR="00517619" w14:paraId="45865AA9" w14:textId="77777777" w:rsidTr="00F731F9">
        <w:trPr>
          <w:trHeight w:val="294"/>
        </w:trPr>
        <w:tc>
          <w:tcPr>
            <w:tcW w:w="2561" w:type="dxa"/>
          </w:tcPr>
          <w:p w14:paraId="5B293032" w14:textId="77777777" w:rsidR="00517619" w:rsidRDefault="00517619" w:rsidP="00F731F9">
            <w:pPr>
              <w:pStyle w:val="TableParagraph"/>
              <w:spacing w:line="275" w:lineRule="exact"/>
              <w:ind w:left="107"/>
              <w:rPr>
                <w:b/>
                <w:sz w:val="24"/>
              </w:rPr>
            </w:pPr>
            <w:r>
              <w:rPr>
                <w:b/>
                <w:spacing w:val="-2"/>
                <w:sz w:val="24"/>
              </w:rPr>
              <w:t>Description</w:t>
            </w:r>
          </w:p>
        </w:tc>
        <w:tc>
          <w:tcPr>
            <w:tcW w:w="6800" w:type="dxa"/>
          </w:tcPr>
          <w:p w14:paraId="562ADDA8" w14:textId="77777777" w:rsidR="00517619" w:rsidRDefault="00517619" w:rsidP="00F731F9">
            <w:pPr>
              <w:pStyle w:val="TableParagraph"/>
              <w:spacing w:line="270" w:lineRule="exact"/>
              <w:rPr>
                <w:sz w:val="24"/>
              </w:rPr>
            </w:pPr>
            <w:r>
              <w:rPr>
                <w:spacing w:val="-2"/>
                <w:sz w:val="24"/>
              </w:rPr>
              <w:t>MCXBULLDEXMMMYY</w:t>
            </w:r>
          </w:p>
        </w:tc>
      </w:tr>
      <w:tr w:rsidR="00517619" w14:paraId="43ED2027" w14:textId="77777777" w:rsidTr="00F731F9">
        <w:trPr>
          <w:trHeight w:val="294"/>
        </w:trPr>
        <w:tc>
          <w:tcPr>
            <w:tcW w:w="2561" w:type="dxa"/>
          </w:tcPr>
          <w:p w14:paraId="4E50DD0F" w14:textId="77777777" w:rsidR="00517619" w:rsidRDefault="00517619" w:rsidP="00F731F9">
            <w:pPr>
              <w:pStyle w:val="TableParagraph"/>
              <w:spacing w:line="275" w:lineRule="exact"/>
              <w:ind w:left="107"/>
              <w:rPr>
                <w:b/>
                <w:sz w:val="24"/>
              </w:rPr>
            </w:pPr>
            <w:r>
              <w:rPr>
                <w:b/>
                <w:sz w:val="24"/>
              </w:rPr>
              <w:t>Underlying</w:t>
            </w:r>
            <w:r>
              <w:rPr>
                <w:b/>
                <w:spacing w:val="-1"/>
                <w:sz w:val="24"/>
              </w:rPr>
              <w:t xml:space="preserve"> </w:t>
            </w:r>
            <w:r>
              <w:rPr>
                <w:b/>
                <w:spacing w:val="-4"/>
                <w:sz w:val="24"/>
              </w:rPr>
              <w:t>Index</w:t>
            </w:r>
          </w:p>
        </w:tc>
        <w:tc>
          <w:tcPr>
            <w:tcW w:w="6800" w:type="dxa"/>
          </w:tcPr>
          <w:p w14:paraId="0F3D7639" w14:textId="77777777" w:rsidR="00517619" w:rsidRDefault="00517619" w:rsidP="00F731F9">
            <w:pPr>
              <w:pStyle w:val="TableParagraph"/>
              <w:spacing w:line="270" w:lineRule="exact"/>
              <w:rPr>
                <w:sz w:val="24"/>
              </w:rPr>
            </w:pPr>
            <w:r>
              <w:rPr>
                <w:sz w:val="24"/>
              </w:rPr>
              <w:t>MCX</w:t>
            </w:r>
            <w:r>
              <w:rPr>
                <w:spacing w:val="-1"/>
                <w:sz w:val="24"/>
              </w:rPr>
              <w:t xml:space="preserve"> </w:t>
            </w:r>
            <w:proofErr w:type="spellStart"/>
            <w:r>
              <w:rPr>
                <w:sz w:val="24"/>
              </w:rPr>
              <w:t>iCOMDEX</w:t>
            </w:r>
            <w:proofErr w:type="spellEnd"/>
            <w:r>
              <w:rPr>
                <w:spacing w:val="-1"/>
                <w:sz w:val="24"/>
              </w:rPr>
              <w:t xml:space="preserve"> </w:t>
            </w:r>
            <w:r>
              <w:rPr>
                <w:spacing w:val="-2"/>
                <w:sz w:val="24"/>
              </w:rPr>
              <w:t>BULLION</w:t>
            </w:r>
          </w:p>
        </w:tc>
      </w:tr>
      <w:tr w:rsidR="00517619" w14:paraId="055D1B6B" w14:textId="77777777" w:rsidTr="00F731F9">
        <w:trPr>
          <w:trHeight w:val="275"/>
        </w:trPr>
        <w:tc>
          <w:tcPr>
            <w:tcW w:w="2561" w:type="dxa"/>
          </w:tcPr>
          <w:p w14:paraId="7AF761E3" w14:textId="77777777" w:rsidR="00517619" w:rsidRDefault="00517619" w:rsidP="00F731F9">
            <w:pPr>
              <w:pStyle w:val="TableParagraph"/>
              <w:ind w:left="107"/>
              <w:rPr>
                <w:b/>
                <w:sz w:val="24"/>
              </w:rPr>
            </w:pPr>
            <w:r>
              <w:rPr>
                <w:b/>
                <w:sz w:val="24"/>
              </w:rPr>
              <w:t>Contract</w:t>
            </w:r>
            <w:r>
              <w:rPr>
                <w:b/>
                <w:spacing w:val="-3"/>
                <w:sz w:val="24"/>
              </w:rPr>
              <w:t xml:space="preserve"> </w:t>
            </w:r>
            <w:r>
              <w:rPr>
                <w:b/>
                <w:spacing w:val="-2"/>
                <w:sz w:val="24"/>
              </w:rPr>
              <w:t>Listing</w:t>
            </w:r>
          </w:p>
        </w:tc>
        <w:tc>
          <w:tcPr>
            <w:tcW w:w="6800" w:type="dxa"/>
          </w:tcPr>
          <w:p w14:paraId="7F734CFA" w14:textId="77777777" w:rsidR="00517619" w:rsidRDefault="00517619" w:rsidP="00F731F9">
            <w:pPr>
              <w:pStyle w:val="TableParagraph"/>
              <w:rPr>
                <w:sz w:val="24"/>
              </w:rPr>
            </w:pPr>
            <w:r>
              <w:rPr>
                <w:sz w:val="24"/>
              </w:rPr>
              <w:t>Contracts</w:t>
            </w:r>
            <w:r>
              <w:rPr>
                <w:spacing w:val="-2"/>
                <w:sz w:val="24"/>
              </w:rPr>
              <w:t xml:space="preserve"> </w:t>
            </w:r>
            <w:r>
              <w:rPr>
                <w:sz w:val="24"/>
              </w:rPr>
              <w:t>are available</w:t>
            </w:r>
            <w:r>
              <w:rPr>
                <w:spacing w:val="-1"/>
                <w:sz w:val="24"/>
              </w:rPr>
              <w:t xml:space="preserve"> </w:t>
            </w:r>
            <w:r>
              <w:rPr>
                <w:sz w:val="24"/>
              </w:rPr>
              <w:t>as</w:t>
            </w:r>
            <w:r>
              <w:rPr>
                <w:spacing w:val="-1"/>
                <w:sz w:val="24"/>
              </w:rPr>
              <w:t xml:space="preserve"> </w:t>
            </w:r>
            <w:r>
              <w:rPr>
                <w:sz w:val="24"/>
              </w:rPr>
              <w:t>per</w:t>
            </w:r>
            <w:r>
              <w:rPr>
                <w:spacing w:val="-1"/>
                <w:sz w:val="24"/>
              </w:rPr>
              <w:t xml:space="preserve"> </w:t>
            </w:r>
            <w:r>
              <w:rPr>
                <w:sz w:val="24"/>
              </w:rPr>
              <w:t>the</w:t>
            </w:r>
            <w:r>
              <w:rPr>
                <w:spacing w:val="-4"/>
                <w:sz w:val="24"/>
              </w:rPr>
              <w:t xml:space="preserve"> </w:t>
            </w:r>
            <w:r>
              <w:rPr>
                <w:sz w:val="24"/>
              </w:rPr>
              <w:t>Contract</w:t>
            </w:r>
            <w:r>
              <w:rPr>
                <w:spacing w:val="1"/>
                <w:sz w:val="24"/>
              </w:rPr>
              <w:t xml:space="preserve"> </w:t>
            </w:r>
            <w:r>
              <w:rPr>
                <w:sz w:val="24"/>
              </w:rPr>
              <w:t>Launch</w:t>
            </w:r>
            <w:r>
              <w:rPr>
                <w:spacing w:val="-1"/>
                <w:sz w:val="24"/>
              </w:rPr>
              <w:t xml:space="preserve"> </w:t>
            </w:r>
            <w:r>
              <w:rPr>
                <w:spacing w:val="-2"/>
                <w:sz w:val="24"/>
              </w:rPr>
              <w:t>Calendar.</w:t>
            </w:r>
          </w:p>
        </w:tc>
      </w:tr>
      <w:tr w:rsidR="00517619" w14:paraId="5162CA20" w14:textId="77777777" w:rsidTr="00F731F9">
        <w:trPr>
          <w:trHeight w:val="551"/>
        </w:trPr>
        <w:tc>
          <w:tcPr>
            <w:tcW w:w="2561" w:type="dxa"/>
          </w:tcPr>
          <w:p w14:paraId="5FF19071" w14:textId="77777777" w:rsidR="00517619" w:rsidRDefault="00517619" w:rsidP="00F731F9">
            <w:pPr>
              <w:pStyle w:val="TableParagraph"/>
              <w:spacing w:line="275" w:lineRule="exact"/>
              <w:ind w:left="107"/>
              <w:rPr>
                <w:b/>
                <w:sz w:val="24"/>
              </w:rPr>
            </w:pPr>
            <w:r>
              <w:rPr>
                <w:b/>
                <w:sz w:val="24"/>
              </w:rPr>
              <w:t>Contract</w:t>
            </w:r>
            <w:r>
              <w:rPr>
                <w:b/>
                <w:spacing w:val="-2"/>
                <w:sz w:val="24"/>
              </w:rPr>
              <w:t xml:space="preserve"> </w:t>
            </w:r>
            <w:r>
              <w:rPr>
                <w:b/>
                <w:sz w:val="24"/>
              </w:rPr>
              <w:t>Start</w:t>
            </w:r>
            <w:r>
              <w:rPr>
                <w:b/>
                <w:spacing w:val="-1"/>
                <w:sz w:val="24"/>
              </w:rPr>
              <w:t xml:space="preserve"> </w:t>
            </w:r>
            <w:r>
              <w:rPr>
                <w:b/>
                <w:spacing w:val="-5"/>
                <w:sz w:val="24"/>
              </w:rPr>
              <w:t>Day</w:t>
            </w:r>
          </w:p>
        </w:tc>
        <w:tc>
          <w:tcPr>
            <w:tcW w:w="6800" w:type="dxa"/>
          </w:tcPr>
          <w:p w14:paraId="513F1E36" w14:textId="77777777" w:rsidR="00517619" w:rsidRDefault="00517619" w:rsidP="00F731F9">
            <w:pPr>
              <w:pStyle w:val="TableParagraph"/>
              <w:spacing w:line="270" w:lineRule="exact"/>
              <w:rPr>
                <w:sz w:val="24"/>
              </w:rPr>
            </w:pPr>
            <w:r>
              <w:rPr>
                <w:sz w:val="24"/>
              </w:rPr>
              <w:t>20</w:t>
            </w:r>
            <w:r>
              <w:rPr>
                <w:sz w:val="24"/>
                <w:vertAlign w:val="superscript"/>
              </w:rPr>
              <w:t>th</w:t>
            </w:r>
            <w:r>
              <w:rPr>
                <w:sz w:val="24"/>
              </w:rPr>
              <w:t xml:space="preserve"> day</w:t>
            </w:r>
            <w:r>
              <w:rPr>
                <w:spacing w:val="-8"/>
                <w:sz w:val="24"/>
              </w:rPr>
              <w:t xml:space="preserve"> </w:t>
            </w:r>
            <w:r>
              <w:rPr>
                <w:sz w:val="24"/>
              </w:rPr>
              <w:t>of contract launch month.</w:t>
            </w:r>
            <w:r>
              <w:rPr>
                <w:spacing w:val="2"/>
                <w:sz w:val="24"/>
              </w:rPr>
              <w:t xml:space="preserve"> </w:t>
            </w:r>
            <w:r>
              <w:rPr>
                <w:sz w:val="24"/>
              </w:rPr>
              <w:t>If 20</w:t>
            </w:r>
            <w:r>
              <w:rPr>
                <w:sz w:val="24"/>
                <w:vertAlign w:val="superscript"/>
              </w:rPr>
              <w:t>th</w:t>
            </w:r>
            <w:r>
              <w:rPr>
                <w:spacing w:val="1"/>
                <w:sz w:val="24"/>
              </w:rPr>
              <w:t xml:space="preserve"> </w:t>
            </w:r>
            <w:r>
              <w:rPr>
                <w:sz w:val="24"/>
              </w:rPr>
              <w:t>day</w:t>
            </w:r>
            <w:r>
              <w:rPr>
                <w:spacing w:val="-5"/>
                <w:sz w:val="24"/>
              </w:rPr>
              <w:t xml:space="preserve"> </w:t>
            </w:r>
            <w:r>
              <w:rPr>
                <w:sz w:val="24"/>
              </w:rPr>
              <w:t>is</w:t>
            </w:r>
            <w:r>
              <w:rPr>
                <w:spacing w:val="2"/>
                <w:sz w:val="24"/>
              </w:rPr>
              <w:t xml:space="preserve"> </w:t>
            </w:r>
            <w:r>
              <w:rPr>
                <w:sz w:val="24"/>
              </w:rPr>
              <w:t>a</w:t>
            </w:r>
            <w:r>
              <w:rPr>
                <w:spacing w:val="1"/>
                <w:sz w:val="24"/>
              </w:rPr>
              <w:t xml:space="preserve"> </w:t>
            </w:r>
            <w:proofErr w:type="gramStart"/>
            <w:r>
              <w:rPr>
                <w:sz w:val="24"/>
              </w:rPr>
              <w:t>holiday</w:t>
            </w:r>
            <w:proofErr w:type="gramEnd"/>
            <w:r>
              <w:rPr>
                <w:spacing w:val="-5"/>
                <w:sz w:val="24"/>
              </w:rPr>
              <w:t xml:space="preserve"> </w:t>
            </w:r>
            <w:r>
              <w:rPr>
                <w:sz w:val="24"/>
              </w:rPr>
              <w:t xml:space="preserve">then </w:t>
            </w:r>
            <w:r>
              <w:rPr>
                <w:spacing w:val="-5"/>
                <w:sz w:val="24"/>
              </w:rPr>
              <w:t>the</w:t>
            </w:r>
          </w:p>
          <w:p w14:paraId="7D76CB50" w14:textId="77777777" w:rsidR="00517619" w:rsidRDefault="00517619" w:rsidP="00F731F9">
            <w:pPr>
              <w:pStyle w:val="TableParagraph"/>
              <w:spacing w:line="261" w:lineRule="exact"/>
              <w:rPr>
                <w:sz w:val="24"/>
              </w:rPr>
            </w:pPr>
            <w:r>
              <w:rPr>
                <w:sz w:val="24"/>
              </w:rPr>
              <w:t>following</w:t>
            </w:r>
            <w:r>
              <w:rPr>
                <w:spacing w:val="-5"/>
                <w:sz w:val="24"/>
              </w:rPr>
              <w:t xml:space="preserve"> </w:t>
            </w:r>
            <w:r>
              <w:rPr>
                <w:sz w:val="24"/>
              </w:rPr>
              <w:t>working</w:t>
            </w:r>
            <w:r>
              <w:rPr>
                <w:spacing w:val="-3"/>
                <w:sz w:val="24"/>
              </w:rPr>
              <w:t xml:space="preserve"> </w:t>
            </w:r>
            <w:r>
              <w:rPr>
                <w:spacing w:val="-4"/>
                <w:sz w:val="24"/>
              </w:rPr>
              <w:t>day.</w:t>
            </w:r>
          </w:p>
        </w:tc>
      </w:tr>
      <w:tr w:rsidR="00517619" w14:paraId="206B017B" w14:textId="77777777" w:rsidTr="00F731F9">
        <w:trPr>
          <w:trHeight w:val="1103"/>
        </w:trPr>
        <w:tc>
          <w:tcPr>
            <w:tcW w:w="2561" w:type="dxa"/>
          </w:tcPr>
          <w:p w14:paraId="55F11673" w14:textId="77777777" w:rsidR="00517619" w:rsidRDefault="00517619" w:rsidP="00F731F9">
            <w:pPr>
              <w:pStyle w:val="TableParagraph"/>
              <w:spacing w:line="275" w:lineRule="exact"/>
              <w:ind w:left="107"/>
              <w:rPr>
                <w:b/>
                <w:sz w:val="24"/>
              </w:rPr>
            </w:pPr>
            <w:r>
              <w:rPr>
                <w:b/>
                <w:sz w:val="24"/>
              </w:rPr>
              <w:t xml:space="preserve">Last Trading </w:t>
            </w:r>
            <w:r>
              <w:rPr>
                <w:b/>
                <w:spacing w:val="-5"/>
                <w:sz w:val="24"/>
              </w:rPr>
              <w:t>Day</w:t>
            </w:r>
          </w:p>
        </w:tc>
        <w:tc>
          <w:tcPr>
            <w:tcW w:w="6800" w:type="dxa"/>
          </w:tcPr>
          <w:p w14:paraId="1CF7180A" w14:textId="77777777" w:rsidR="00517619" w:rsidRDefault="00517619" w:rsidP="00F731F9">
            <w:pPr>
              <w:pStyle w:val="TableParagraph"/>
              <w:spacing w:line="240" w:lineRule="auto"/>
              <w:ind w:right="25"/>
              <w:rPr>
                <w:sz w:val="24"/>
              </w:rPr>
            </w:pPr>
            <w:r>
              <w:rPr>
                <w:sz w:val="24"/>
              </w:rPr>
              <w:t>One business day prior to the start of rollover period in the underlying constituent/(s) index. In case, if there are no rollover during</w:t>
            </w:r>
            <w:r>
              <w:rPr>
                <w:spacing w:val="-6"/>
                <w:sz w:val="24"/>
              </w:rPr>
              <w:t xml:space="preserve"> </w:t>
            </w:r>
            <w:r>
              <w:rPr>
                <w:sz w:val="24"/>
              </w:rPr>
              <w:t>any</w:t>
            </w:r>
            <w:r>
              <w:rPr>
                <w:spacing w:val="-6"/>
                <w:sz w:val="24"/>
              </w:rPr>
              <w:t xml:space="preserve"> </w:t>
            </w:r>
            <w:r>
              <w:rPr>
                <w:sz w:val="24"/>
              </w:rPr>
              <w:t>calendar</w:t>
            </w:r>
            <w:r>
              <w:rPr>
                <w:spacing w:val="-3"/>
                <w:sz w:val="24"/>
              </w:rPr>
              <w:t xml:space="preserve"> </w:t>
            </w:r>
            <w:r>
              <w:rPr>
                <w:sz w:val="24"/>
              </w:rPr>
              <w:t>month,</w:t>
            </w:r>
            <w:r>
              <w:rPr>
                <w:spacing w:val="-3"/>
                <w:sz w:val="24"/>
              </w:rPr>
              <w:t xml:space="preserve"> </w:t>
            </w:r>
            <w:r>
              <w:rPr>
                <w:sz w:val="24"/>
              </w:rPr>
              <w:t>the</w:t>
            </w:r>
            <w:r>
              <w:rPr>
                <w:spacing w:val="-4"/>
                <w:sz w:val="24"/>
              </w:rPr>
              <w:t xml:space="preserve"> </w:t>
            </w:r>
            <w:r>
              <w:rPr>
                <w:sz w:val="24"/>
              </w:rPr>
              <w:t>contract</w:t>
            </w:r>
            <w:r>
              <w:rPr>
                <w:spacing w:val="-3"/>
                <w:sz w:val="24"/>
              </w:rPr>
              <w:t xml:space="preserve"> </w:t>
            </w:r>
            <w:r>
              <w:rPr>
                <w:sz w:val="24"/>
              </w:rPr>
              <w:t>will</w:t>
            </w:r>
            <w:r>
              <w:rPr>
                <w:spacing w:val="-3"/>
                <w:sz w:val="24"/>
              </w:rPr>
              <w:t xml:space="preserve"> </w:t>
            </w:r>
            <w:r>
              <w:rPr>
                <w:sz w:val="24"/>
              </w:rPr>
              <w:t>expire</w:t>
            </w:r>
            <w:r>
              <w:rPr>
                <w:spacing w:val="-5"/>
                <w:sz w:val="24"/>
              </w:rPr>
              <w:t xml:space="preserve"> </w:t>
            </w:r>
            <w:r>
              <w:rPr>
                <w:sz w:val="24"/>
              </w:rPr>
              <w:t>on</w:t>
            </w:r>
            <w:r>
              <w:rPr>
                <w:spacing w:val="-3"/>
                <w:sz w:val="24"/>
              </w:rPr>
              <w:t xml:space="preserve"> </w:t>
            </w:r>
            <w:r>
              <w:rPr>
                <w:sz w:val="24"/>
              </w:rPr>
              <w:t>25th</w:t>
            </w:r>
            <w:r>
              <w:rPr>
                <w:spacing w:val="-3"/>
                <w:sz w:val="24"/>
              </w:rPr>
              <w:t xml:space="preserve"> </w:t>
            </w:r>
            <w:r>
              <w:rPr>
                <w:sz w:val="24"/>
              </w:rPr>
              <w:t>day</w:t>
            </w:r>
            <w:r>
              <w:rPr>
                <w:spacing w:val="-8"/>
                <w:sz w:val="24"/>
              </w:rPr>
              <w:t xml:space="preserve"> </w:t>
            </w:r>
            <w:r>
              <w:rPr>
                <w:sz w:val="24"/>
              </w:rPr>
              <w:t>of</w:t>
            </w:r>
          </w:p>
          <w:p w14:paraId="4E61FE71" w14:textId="77777777" w:rsidR="00517619" w:rsidRDefault="00517619" w:rsidP="00F731F9">
            <w:pPr>
              <w:pStyle w:val="TableParagraph"/>
              <w:spacing w:line="261" w:lineRule="exact"/>
              <w:rPr>
                <w:sz w:val="24"/>
              </w:rPr>
            </w:pPr>
            <w:r>
              <w:rPr>
                <w:sz w:val="24"/>
              </w:rPr>
              <w:t>the</w:t>
            </w:r>
            <w:r>
              <w:rPr>
                <w:spacing w:val="-1"/>
                <w:sz w:val="24"/>
              </w:rPr>
              <w:t xml:space="preserve"> </w:t>
            </w:r>
            <w:r>
              <w:rPr>
                <w:sz w:val="24"/>
              </w:rPr>
              <w:t>month.</w:t>
            </w:r>
            <w:r>
              <w:rPr>
                <w:spacing w:val="1"/>
                <w:sz w:val="24"/>
              </w:rPr>
              <w:t xml:space="preserve"> </w:t>
            </w:r>
            <w:r>
              <w:rPr>
                <w:sz w:val="24"/>
              </w:rPr>
              <w:t>If 25th</w:t>
            </w:r>
            <w:r>
              <w:rPr>
                <w:spacing w:val="-1"/>
                <w:sz w:val="24"/>
              </w:rPr>
              <w:t xml:space="preserve"> </w:t>
            </w:r>
            <w:r>
              <w:rPr>
                <w:sz w:val="24"/>
              </w:rPr>
              <w:t>day</w:t>
            </w:r>
            <w:r>
              <w:rPr>
                <w:spacing w:val="-6"/>
                <w:sz w:val="24"/>
              </w:rPr>
              <w:t xml:space="preserve"> </w:t>
            </w:r>
            <w:r>
              <w:rPr>
                <w:sz w:val="24"/>
              </w:rPr>
              <w:t>is a</w:t>
            </w:r>
            <w:r>
              <w:rPr>
                <w:spacing w:val="-1"/>
                <w:sz w:val="24"/>
              </w:rPr>
              <w:t xml:space="preserve"> </w:t>
            </w:r>
            <w:r>
              <w:rPr>
                <w:sz w:val="24"/>
              </w:rPr>
              <w:t>holiday,</w:t>
            </w:r>
            <w:r>
              <w:rPr>
                <w:spacing w:val="-1"/>
                <w:sz w:val="24"/>
              </w:rPr>
              <w:t xml:space="preserve"> </w:t>
            </w:r>
            <w:r>
              <w:rPr>
                <w:sz w:val="24"/>
              </w:rPr>
              <w:t>then preceding</w:t>
            </w:r>
            <w:r>
              <w:rPr>
                <w:spacing w:val="-1"/>
                <w:sz w:val="24"/>
              </w:rPr>
              <w:t xml:space="preserve"> </w:t>
            </w:r>
            <w:r>
              <w:rPr>
                <w:sz w:val="24"/>
              </w:rPr>
              <w:t>working</w:t>
            </w:r>
            <w:r>
              <w:rPr>
                <w:spacing w:val="-2"/>
                <w:sz w:val="24"/>
              </w:rPr>
              <w:t xml:space="preserve"> </w:t>
            </w:r>
            <w:r>
              <w:rPr>
                <w:spacing w:val="-4"/>
                <w:sz w:val="24"/>
              </w:rPr>
              <w:t>day.</w:t>
            </w:r>
          </w:p>
        </w:tc>
      </w:tr>
      <w:tr w:rsidR="00517619" w14:paraId="48C18776" w14:textId="77777777" w:rsidTr="00F731F9">
        <w:trPr>
          <w:trHeight w:val="277"/>
        </w:trPr>
        <w:tc>
          <w:tcPr>
            <w:tcW w:w="9361" w:type="dxa"/>
            <w:gridSpan w:val="2"/>
          </w:tcPr>
          <w:p w14:paraId="442489A6" w14:textId="77777777" w:rsidR="00517619" w:rsidRDefault="00517619" w:rsidP="00F731F9">
            <w:pPr>
              <w:pStyle w:val="TableParagraph"/>
              <w:spacing w:before="1" w:line="257" w:lineRule="exact"/>
              <w:ind w:left="107"/>
              <w:rPr>
                <w:b/>
                <w:sz w:val="24"/>
              </w:rPr>
            </w:pPr>
            <w:r>
              <w:rPr>
                <w:b/>
                <w:spacing w:val="-2"/>
                <w:sz w:val="24"/>
              </w:rPr>
              <w:t>Trading</w:t>
            </w:r>
          </w:p>
        </w:tc>
      </w:tr>
      <w:tr w:rsidR="00517619" w14:paraId="62DF65D4" w14:textId="77777777" w:rsidTr="00F731F9">
        <w:trPr>
          <w:trHeight w:val="275"/>
        </w:trPr>
        <w:tc>
          <w:tcPr>
            <w:tcW w:w="2561" w:type="dxa"/>
          </w:tcPr>
          <w:p w14:paraId="437691C2" w14:textId="77777777" w:rsidR="00517619" w:rsidRDefault="00517619" w:rsidP="00F731F9">
            <w:pPr>
              <w:pStyle w:val="TableParagraph"/>
              <w:spacing w:line="255" w:lineRule="exact"/>
              <w:ind w:left="107"/>
              <w:rPr>
                <w:b/>
                <w:sz w:val="24"/>
              </w:rPr>
            </w:pPr>
            <w:r>
              <w:rPr>
                <w:b/>
                <w:sz w:val="24"/>
              </w:rPr>
              <w:t xml:space="preserve">Trading </w:t>
            </w:r>
            <w:r>
              <w:rPr>
                <w:b/>
                <w:spacing w:val="-2"/>
                <w:sz w:val="24"/>
              </w:rPr>
              <w:t>Period</w:t>
            </w:r>
          </w:p>
        </w:tc>
        <w:tc>
          <w:tcPr>
            <w:tcW w:w="6800" w:type="dxa"/>
          </w:tcPr>
          <w:p w14:paraId="36C29BCA" w14:textId="77777777" w:rsidR="00517619" w:rsidRDefault="00517619" w:rsidP="00F731F9">
            <w:pPr>
              <w:pStyle w:val="TableParagraph"/>
              <w:spacing w:line="255" w:lineRule="exact"/>
              <w:rPr>
                <w:sz w:val="24"/>
              </w:rPr>
            </w:pPr>
            <w:r>
              <w:rPr>
                <w:sz w:val="24"/>
              </w:rPr>
              <w:t>Mondays</w:t>
            </w:r>
            <w:r>
              <w:rPr>
                <w:spacing w:val="-3"/>
                <w:sz w:val="24"/>
              </w:rPr>
              <w:t xml:space="preserve"> </w:t>
            </w:r>
            <w:r>
              <w:rPr>
                <w:sz w:val="24"/>
              </w:rPr>
              <w:t xml:space="preserve">through </w:t>
            </w:r>
            <w:r>
              <w:rPr>
                <w:spacing w:val="-2"/>
                <w:sz w:val="24"/>
              </w:rPr>
              <w:t>Fridays</w:t>
            </w:r>
          </w:p>
        </w:tc>
      </w:tr>
      <w:tr w:rsidR="00517619" w14:paraId="135800E9" w14:textId="77777777" w:rsidTr="00F731F9">
        <w:trPr>
          <w:trHeight w:val="551"/>
        </w:trPr>
        <w:tc>
          <w:tcPr>
            <w:tcW w:w="2561" w:type="dxa"/>
          </w:tcPr>
          <w:p w14:paraId="2F5260DD" w14:textId="77777777" w:rsidR="00517619" w:rsidRDefault="00517619" w:rsidP="00F731F9">
            <w:pPr>
              <w:pStyle w:val="TableParagraph"/>
              <w:spacing w:line="275" w:lineRule="exact"/>
              <w:ind w:left="107"/>
              <w:rPr>
                <w:b/>
                <w:sz w:val="24"/>
              </w:rPr>
            </w:pPr>
            <w:r>
              <w:rPr>
                <w:b/>
                <w:sz w:val="24"/>
              </w:rPr>
              <w:t xml:space="preserve">Trading </w:t>
            </w:r>
            <w:r>
              <w:rPr>
                <w:b/>
                <w:spacing w:val="-2"/>
                <w:sz w:val="24"/>
              </w:rPr>
              <w:t>Session</w:t>
            </w:r>
          </w:p>
        </w:tc>
        <w:tc>
          <w:tcPr>
            <w:tcW w:w="6800" w:type="dxa"/>
          </w:tcPr>
          <w:p w14:paraId="065AD8E1" w14:textId="77777777" w:rsidR="00517619" w:rsidRDefault="00517619" w:rsidP="00F731F9">
            <w:pPr>
              <w:pStyle w:val="TableParagraph"/>
              <w:spacing w:line="270" w:lineRule="exact"/>
              <w:rPr>
                <w:sz w:val="24"/>
              </w:rPr>
            </w:pPr>
            <w:r>
              <w:rPr>
                <w:sz w:val="24"/>
              </w:rPr>
              <w:t>Monday</w:t>
            </w:r>
            <w:r>
              <w:rPr>
                <w:spacing w:val="-6"/>
                <w:sz w:val="24"/>
              </w:rPr>
              <w:t xml:space="preserve"> </w:t>
            </w:r>
            <w:r>
              <w:rPr>
                <w:sz w:val="24"/>
              </w:rPr>
              <w:t>to</w:t>
            </w:r>
            <w:r>
              <w:rPr>
                <w:spacing w:val="2"/>
                <w:sz w:val="24"/>
              </w:rPr>
              <w:t xml:space="preserve"> </w:t>
            </w:r>
            <w:r>
              <w:rPr>
                <w:sz w:val="24"/>
              </w:rPr>
              <w:t>Friday: 9:00 a.m.</w:t>
            </w:r>
            <w:r>
              <w:rPr>
                <w:spacing w:val="-1"/>
                <w:sz w:val="24"/>
              </w:rPr>
              <w:t xml:space="preserve"> </w:t>
            </w:r>
            <w:r>
              <w:rPr>
                <w:sz w:val="24"/>
              </w:rPr>
              <w:t xml:space="preserve">to 11:30 / 11:55 </w:t>
            </w:r>
            <w:r>
              <w:rPr>
                <w:spacing w:val="-2"/>
                <w:sz w:val="24"/>
              </w:rPr>
              <w:t>p.m.*</w:t>
            </w:r>
          </w:p>
          <w:p w14:paraId="663ED400" w14:textId="77777777" w:rsidR="00517619" w:rsidRDefault="00517619" w:rsidP="00F731F9">
            <w:pPr>
              <w:pStyle w:val="TableParagraph"/>
              <w:spacing w:line="261" w:lineRule="exact"/>
              <w:rPr>
                <w:sz w:val="24"/>
              </w:rPr>
            </w:pPr>
            <w:r>
              <w:rPr>
                <w:sz w:val="24"/>
              </w:rPr>
              <w:t>*</w:t>
            </w:r>
            <w:r>
              <w:rPr>
                <w:spacing w:val="-1"/>
                <w:sz w:val="24"/>
              </w:rPr>
              <w:t xml:space="preserve"> </w:t>
            </w:r>
            <w:proofErr w:type="gramStart"/>
            <w:r>
              <w:rPr>
                <w:sz w:val="24"/>
              </w:rPr>
              <w:t>based</w:t>
            </w:r>
            <w:proofErr w:type="gramEnd"/>
            <w:r>
              <w:rPr>
                <w:sz w:val="24"/>
              </w:rPr>
              <w:t xml:space="preserve"> on</w:t>
            </w:r>
            <w:r>
              <w:rPr>
                <w:spacing w:val="-1"/>
                <w:sz w:val="24"/>
              </w:rPr>
              <w:t xml:space="preserve"> </w:t>
            </w:r>
            <w:r>
              <w:rPr>
                <w:sz w:val="24"/>
              </w:rPr>
              <w:t>US daylight</w:t>
            </w:r>
            <w:r>
              <w:rPr>
                <w:spacing w:val="-1"/>
                <w:sz w:val="24"/>
              </w:rPr>
              <w:t xml:space="preserve"> </w:t>
            </w:r>
            <w:r>
              <w:rPr>
                <w:sz w:val="24"/>
              </w:rPr>
              <w:t>saving</w:t>
            </w:r>
            <w:r>
              <w:rPr>
                <w:spacing w:val="-3"/>
                <w:sz w:val="24"/>
              </w:rPr>
              <w:t xml:space="preserve"> </w:t>
            </w:r>
            <w:r>
              <w:rPr>
                <w:sz w:val="24"/>
              </w:rPr>
              <w:t xml:space="preserve">time </w:t>
            </w:r>
            <w:r>
              <w:rPr>
                <w:spacing w:val="-2"/>
                <w:sz w:val="24"/>
              </w:rPr>
              <w:t>period.</w:t>
            </w:r>
          </w:p>
        </w:tc>
      </w:tr>
      <w:tr w:rsidR="00517619" w14:paraId="4FEC27B2" w14:textId="77777777" w:rsidTr="00F731F9">
        <w:trPr>
          <w:trHeight w:val="275"/>
        </w:trPr>
        <w:tc>
          <w:tcPr>
            <w:tcW w:w="2561" w:type="dxa"/>
          </w:tcPr>
          <w:p w14:paraId="32279641" w14:textId="77777777" w:rsidR="00517619" w:rsidRDefault="00517619" w:rsidP="00F731F9">
            <w:pPr>
              <w:pStyle w:val="TableParagraph"/>
              <w:spacing w:line="255" w:lineRule="exact"/>
              <w:ind w:left="107"/>
              <w:rPr>
                <w:b/>
                <w:sz w:val="24"/>
              </w:rPr>
            </w:pPr>
            <w:r>
              <w:rPr>
                <w:b/>
                <w:sz w:val="24"/>
              </w:rPr>
              <w:t>Trading</w:t>
            </w:r>
            <w:r>
              <w:rPr>
                <w:b/>
                <w:spacing w:val="-1"/>
                <w:sz w:val="24"/>
              </w:rPr>
              <w:t xml:space="preserve"> </w:t>
            </w:r>
            <w:r>
              <w:rPr>
                <w:b/>
                <w:sz w:val="24"/>
              </w:rPr>
              <w:t>Unit</w:t>
            </w:r>
            <w:r>
              <w:rPr>
                <w:b/>
                <w:spacing w:val="-1"/>
                <w:sz w:val="24"/>
              </w:rPr>
              <w:t xml:space="preserve"> </w:t>
            </w:r>
            <w:r>
              <w:rPr>
                <w:b/>
                <w:sz w:val="24"/>
              </w:rPr>
              <w:t xml:space="preserve">(1 </w:t>
            </w:r>
            <w:r>
              <w:rPr>
                <w:b/>
                <w:spacing w:val="-4"/>
                <w:sz w:val="24"/>
              </w:rPr>
              <w:t>Lot)</w:t>
            </w:r>
          </w:p>
        </w:tc>
        <w:tc>
          <w:tcPr>
            <w:tcW w:w="6800" w:type="dxa"/>
          </w:tcPr>
          <w:p w14:paraId="33BC0A84" w14:textId="77777777" w:rsidR="00517619" w:rsidRDefault="00517619" w:rsidP="00F731F9">
            <w:pPr>
              <w:pStyle w:val="TableParagraph"/>
              <w:spacing w:line="255" w:lineRule="exact"/>
              <w:rPr>
                <w:sz w:val="24"/>
              </w:rPr>
            </w:pPr>
            <w:r>
              <w:rPr>
                <w:sz w:val="24"/>
              </w:rPr>
              <w:t>Rs.</w:t>
            </w:r>
            <w:r>
              <w:rPr>
                <w:spacing w:val="-2"/>
                <w:sz w:val="24"/>
              </w:rPr>
              <w:t xml:space="preserve"> </w:t>
            </w:r>
            <w:r>
              <w:rPr>
                <w:sz w:val="24"/>
              </w:rPr>
              <w:t>50</w:t>
            </w:r>
            <w:r>
              <w:rPr>
                <w:spacing w:val="-1"/>
                <w:sz w:val="24"/>
              </w:rPr>
              <w:t xml:space="preserve"> </w:t>
            </w:r>
            <w:r>
              <w:rPr>
                <w:sz w:val="24"/>
              </w:rPr>
              <w:t>*</w:t>
            </w:r>
            <w:r>
              <w:rPr>
                <w:spacing w:val="-1"/>
                <w:sz w:val="24"/>
              </w:rPr>
              <w:t xml:space="preserve"> </w:t>
            </w:r>
            <w:r>
              <w:rPr>
                <w:sz w:val="24"/>
              </w:rPr>
              <w:t>MCX</w:t>
            </w:r>
            <w:r>
              <w:rPr>
                <w:spacing w:val="-1"/>
                <w:sz w:val="24"/>
              </w:rPr>
              <w:t xml:space="preserve"> </w:t>
            </w:r>
            <w:proofErr w:type="spellStart"/>
            <w:r>
              <w:rPr>
                <w:sz w:val="24"/>
              </w:rPr>
              <w:t>iCOMDEX</w:t>
            </w:r>
            <w:proofErr w:type="spellEnd"/>
            <w:r>
              <w:rPr>
                <w:spacing w:val="-1"/>
                <w:sz w:val="24"/>
              </w:rPr>
              <w:t xml:space="preserve"> </w:t>
            </w:r>
            <w:r>
              <w:rPr>
                <w:sz w:val="24"/>
              </w:rPr>
              <w:t>Bullion</w:t>
            </w:r>
            <w:r>
              <w:rPr>
                <w:spacing w:val="1"/>
                <w:sz w:val="24"/>
              </w:rPr>
              <w:t xml:space="preserve"> </w:t>
            </w:r>
            <w:r>
              <w:rPr>
                <w:spacing w:val="-4"/>
                <w:sz w:val="24"/>
              </w:rPr>
              <w:t>Index</w:t>
            </w:r>
          </w:p>
        </w:tc>
      </w:tr>
      <w:tr w:rsidR="00517619" w14:paraId="0A48AA88" w14:textId="77777777" w:rsidTr="00F731F9">
        <w:trPr>
          <w:trHeight w:val="554"/>
        </w:trPr>
        <w:tc>
          <w:tcPr>
            <w:tcW w:w="2561" w:type="dxa"/>
          </w:tcPr>
          <w:p w14:paraId="31BBA4EB" w14:textId="77777777" w:rsidR="00517619" w:rsidRDefault="00517619" w:rsidP="00F731F9">
            <w:pPr>
              <w:pStyle w:val="TableParagraph"/>
              <w:spacing w:line="270" w:lineRule="atLeast"/>
              <w:ind w:left="107" w:right="280"/>
              <w:rPr>
                <w:b/>
                <w:sz w:val="24"/>
              </w:rPr>
            </w:pPr>
            <w:r>
              <w:rPr>
                <w:b/>
                <w:sz w:val="24"/>
              </w:rPr>
              <w:t>Quotation</w:t>
            </w:r>
            <w:r>
              <w:rPr>
                <w:b/>
                <w:spacing w:val="-15"/>
                <w:sz w:val="24"/>
              </w:rPr>
              <w:t xml:space="preserve"> </w:t>
            </w:r>
            <w:r>
              <w:rPr>
                <w:b/>
                <w:sz w:val="24"/>
              </w:rPr>
              <w:t>/</w:t>
            </w:r>
            <w:r>
              <w:rPr>
                <w:b/>
                <w:spacing w:val="-15"/>
                <w:sz w:val="24"/>
              </w:rPr>
              <w:t xml:space="preserve"> </w:t>
            </w:r>
            <w:r>
              <w:rPr>
                <w:b/>
                <w:sz w:val="24"/>
              </w:rPr>
              <w:t xml:space="preserve">Base </w:t>
            </w:r>
            <w:r>
              <w:rPr>
                <w:b/>
                <w:spacing w:val="-2"/>
                <w:sz w:val="24"/>
              </w:rPr>
              <w:t>Value</w:t>
            </w:r>
          </w:p>
        </w:tc>
        <w:tc>
          <w:tcPr>
            <w:tcW w:w="6800" w:type="dxa"/>
          </w:tcPr>
          <w:p w14:paraId="06B28944" w14:textId="77777777" w:rsidR="00517619" w:rsidRDefault="00517619" w:rsidP="00F731F9">
            <w:pPr>
              <w:pStyle w:val="TableParagraph"/>
              <w:spacing w:line="272" w:lineRule="exact"/>
              <w:rPr>
                <w:sz w:val="24"/>
              </w:rPr>
            </w:pPr>
            <w:r>
              <w:rPr>
                <w:sz w:val="24"/>
              </w:rPr>
              <w:t>Index</w:t>
            </w:r>
            <w:r>
              <w:rPr>
                <w:spacing w:val="-1"/>
                <w:sz w:val="24"/>
              </w:rPr>
              <w:t xml:space="preserve"> </w:t>
            </w:r>
            <w:r>
              <w:rPr>
                <w:spacing w:val="-2"/>
                <w:sz w:val="24"/>
              </w:rPr>
              <w:t>Points</w:t>
            </w:r>
          </w:p>
        </w:tc>
      </w:tr>
      <w:tr w:rsidR="00517619" w14:paraId="220C1D27" w14:textId="77777777" w:rsidTr="00F731F9">
        <w:trPr>
          <w:trHeight w:val="275"/>
        </w:trPr>
        <w:tc>
          <w:tcPr>
            <w:tcW w:w="2561" w:type="dxa"/>
          </w:tcPr>
          <w:p w14:paraId="20C2D90F" w14:textId="77777777" w:rsidR="00517619" w:rsidRDefault="00517619" w:rsidP="00F731F9">
            <w:pPr>
              <w:pStyle w:val="TableParagraph"/>
              <w:spacing w:line="255" w:lineRule="exact"/>
              <w:ind w:left="107"/>
              <w:rPr>
                <w:b/>
                <w:sz w:val="24"/>
              </w:rPr>
            </w:pPr>
            <w:r>
              <w:rPr>
                <w:b/>
                <w:sz w:val="24"/>
              </w:rPr>
              <w:t>Maximum</w:t>
            </w:r>
            <w:r>
              <w:rPr>
                <w:b/>
                <w:spacing w:val="-5"/>
                <w:sz w:val="24"/>
              </w:rPr>
              <w:t xml:space="preserve"> </w:t>
            </w:r>
            <w:r>
              <w:rPr>
                <w:b/>
                <w:sz w:val="24"/>
              </w:rPr>
              <w:t>Order</w:t>
            </w:r>
            <w:r>
              <w:rPr>
                <w:b/>
                <w:spacing w:val="-1"/>
                <w:sz w:val="24"/>
              </w:rPr>
              <w:t xml:space="preserve"> </w:t>
            </w:r>
            <w:r>
              <w:rPr>
                <w:b/>
                <w:spacing w:val="-4"/>
                <w:sz w:val="24"/>
              </w:rPr>
              <w:t>Size</w:t>
            </w:r>
          </w:p>
        </w:tc>
        <w:tc>
          <w:tcPr>
            <w:tcW w:w="6800" w:type="dxa"/>
          </w:tcPr>
          <w:p w14:paraId="6E0DCA05" w14:textId="77777777" w:rsidR="00517619" w:rsidRDefault="00517619" w:rsidP="00F731F9">
            <w:pPr>
              <w:pStyle w:val="TableParagraph"/>
              <w:spacing w:line="255" w:lineRule="exact"/>
              <w:rPr>
                <w:sz w:val="24"/>
              </w:rPr>
            </w:pPr>
            <w:r>
              <w:rPr>
                <w:sz w:val="24"/>
              </w:rPr>
              <w:t>80</w:t>
            </w:r>
            <w:r>
              <w:rPr>
                <w:spacing w:val="2"/>
                <w:sz w:val="24"/>
              </w:rPr>
              <w:t xml:space="preserve"> </w:t>
            </w:r>
            <w:r>
              <w:rPr>
                <w:spacing w:val="-4"/>
                <w:sz w:val="24"/>
              </w:rPr>
              <w:t>Lots</w:t>
            </w:r>
          </w:p>
        </w:tc>
      </w:tr>
      <w:tr w:rsidR="00517619" w14:paraId="4749444D" w14:textId="77777777" w:rsidTr="00F731F9">
        <w:trPr>
          <w:trHeight w:val="505"/>
        </w:trPr>
        <w:tc>
          <w:tcPr>
            <w:tcW w:w="2561" w:type="dxa"/>
          </w:tcPr>
          <w:p w14:paraId="45C7140B" w14:textId="77777777" w:rsidR="00517619" w:rsidRDefault="00517619" w:rsidP="00F731F9">
            <w:pPr>
              <w:pStyle w:val="TableParagraph"/>
              <w:spacing w:before="5" w:line="240" w:lineRule="exact"/>
              <w:ind w:left="107" w:right="280"/>
              <w:rPr>
                <w:b/>
                <w:sz w:val="20"/>
              </w:rPr>
            </w:pPr>
            <w:r>
              <w:rPr>
                <w:b/>
                <w:sz w:val="24"/>
              </w:rPr>
              <w:t>Tick</w:t>
            </w:r>
            <w:r>
              <w:rPr>
                <w:b/>
                <w:spacing w:val="-15"/>
                <w:sz w:val="24"/>
              </w:rPr>
              <w:t xml:space="preserve"> </w:t>
            </w:r>
            <w:r>
              <w:rPr>
                <w:b/>
                <w:sz w:val="24"/>
              </w:rPr>
              <w:t>Size</w:t>
            </w:r>
            <w:r>
              <w:rPr>
                <w:b/>
                <w:spacing w:val="-15"/>
                <w:sz w:val="24"/>
              </w:rPr>
              <w:t xml:space="preserve"> </w:t>
            </w:r>
            <w:r>
              <w:rPr>
                <w:b/>
                <w:sz w:val="20"/>
              </w:rPr>
              <w:t>(Minimum Price Movement)</w:t>
            </w:r>
          </w:p>
        </w:tc>
        <w:tc>
          <w:tcPr>
            <w:tcW w:w="6800" w:type="dxa"/>
          </w:tcPr>
          <w:p w14:paraId="0158D0A7" w14:textId="77777777" w:rsidR="00517619" w:rsidRDefault="00517619" w:rsidP="00F731F9">
            <w:pPr>
              <w:pStyle w:val="TableParagraph"/>
              <w:spacing w:line="270" w:lineRule="exact"/>
              <w:rPr>
                <w:sz w:val="24"/>
              </w:rPr>
            </w:pPr>
            <w:r>
              <w:rPr>
                <w:spacing w:val="-10"/>
                <w:sz w:val="24"/>
              </w:rPr>
              <w:t>1</w:t>
            </w:r>
          </w:p>
        </w:tc>
      </w:tr>
      <w:tr w:rsidR="00517619" w14:paraId="25408146" w14:textId="77777777" w:rsidTr="00F731F9">
        <w:trPr>
          <w:trHeight w:val="3035"/>
        </w:trPr>
        <w:tc>
          <w:tcPr>
            <w:tcW w:w="2561" w:type="dxa"/>
          </w:tcPr>
          <w:p w14:paraId="60CE0933" w14:textId="77777777" w:rsidR="00517619" w:rsidRDefault="00517619" w:rsidP="00F731F9">
            <w:pPr>
              <w:pStyle w:val="TableParagraph"/>
              <w:spacing w:line="275" w:lineRule="exact"/>
              <w:ind w:left="107"/>
              <w:rPr>
                <w:b/>
                <w:sz w:val="24"/>
              </w:rPr>
            </w:pPr>
            <w:r>
              <w:rPr>
                <w:b/>
                <w:sz w:val="24"/>
              </w:rPr>
              <w:lastRenderedPageBreak/>
              <w:t>Daily</w:t>
            </w:r>
            <w:r>
              <w:rPr>
                <w:b/>
                <w:spacing w:val="-2"/>
                <w:sz w:val="24"/>
              </w:rPr>
              <w:t xml:space="preserve"> </w:t>
            </w:r>
            <w:r>
              <w:rPr>
                <w:b/>
                <w:sz w:val="24"/>
              </w:rPr>
              <w:t>Price</w:t>
            </w:r>
            <w:r>
              <w:rPr>
                <w:b/>
                <w:spacing w:val="-2"/>
                <w:sz w:val="24"/>
              </w:rPr>
              <w:t xml:space="preserve"> Limits</w:t>
            </w:r>
          </w:p>
        </w:tc>
        <w:tc>
          <w:tcPr>
            <w:tcW w:w="6800" w:type="dxa"/>
          </w:tcPr>
          <w:p w14:paraId="5B43DCEA" w14:textId="77777777" w:rsidR="00517619" w:rsidRDefault="00517619" w:rsidP="00F731F9">
            <w:pPr>
              <w:pStyle w:val="TableParagraph"/>
              <w:spacing w:line="240" w:lineRule="auto"/>
              <w:ind w:right="92"/>
              <w:jc w:val="both"/>
              <w:rPr>
                <w:sz w:val="24"/>
              </w:rPr>
            </w:pPr>
            <w:r>
              <w:rPr>
                <w:sz w:val="24"/>
              </w:rPr>
              <w:t>The</w:t>
            </w:r>
            <w:r>
              <w:rPr>
                <w:spacing w:val="-2"/>
                <w:sz w:val="24"/>
              </w:rPr>
              <w:t xml:space="preserve"> </w:t>
            </w:r>
            <w:r>
              <w:rPr>
                <w:sz w:val="24"/>
              </w:rPr>
              <w:t>base price limit will be</w:t>
            </w:r>
            <w:r>
              <w:rPr>
                <w:spacing w:val="-1"/>
                <w:sz w:val="24"/>
              </w:rPr>
              <w:t xml:space="preserve"> </w:t>
            </w:r>
            <w:r>
              <w:rPr>
                <w:sz w:val="24"/>
              </w:rPr>
              <w:t>3%. Whenever</w:t>
            </w:r>
            <w:r>
              <w:rPr>
                <w:spacing w:val="-1"/>
                <w:sz w:val="24"/>
              </w:rPr>
              <w:t xml:space="preserve"> </w:t>
            </w:r>
            <w:r>
              <w:rPr>
                <w:sz w:val="24"/>
              </w:rPr>
              <w:t>the</w:t>
            </w:r>
            <w:r>
              <w:rPr>
                <w:spacing w:val="-1"/>
                <w:sz w:val="24"/>
              </w:rPr>
              <w:t xml:space="preserve"> </w:t>
            </w:r>
            <w:r>
              <w:rPr>
                <w:sz w:val="24"/>
              </w:rPr>
              <w:t>base</w:t>
            </w:r>
            <w:r>
              <w:rPr>
                <w:spacing w:val="-1"/>
                <w:sz w:val="24"/>
              </w:rPr>
              <w:t xml:space="preserve"> </w:t>
            </w:r>
            <w:r>
              <w:rPr>
                <w:sz w:val="24"/>
              </w:rPr>
              <w:t>daily</w:t>
            </w:r>
            <w:r>
              <w:rPr>
                <w:spacing w:val="-3"/>
                <w:sz w:val="24"/>
              </w:rPr>
              <w:t xml:space="preserve"> </w:t>
            </w:r>
            <w:r>
              <w:rPr>
                <w:sz w:val="24"/>
              </w:rPr>
              <w:t>price</w:t>
            </w:r>
            <w:r>
              <w:rPr>
                <w:spacing w:val="-1"/>
                <w:sz w:val="24"/>
              </w:rPr>
              <w:t xml:space="preserve"> </w:t>
            </w:r>
            <w:r>
              <w:rPr>
                <w:sz w:val="24"/>
              </w:rPr>
              <w:t xml:space="preserve">limit is breached, the relaxation will be allowed </w:t>
            </w:r>
            <w:proofErr w:type="spellStart"/>
            <w:r>
              <w:rPr>
                <w:sz w:val="24"/>
              </w:rPr>
              <w:t>upto</w:t>
            </w:r>
            <w:proofErr w:type="spellEnd"/>
            <w:r>
              <w:rPr>
                <w:sz w:val="24"/>
              </w:rPr>
              <w:t xml:space="preserve"> 6% without any cooling off period in the trade.</w:t>
            </w:r>
          </w:p>
          <w:p w14:paraId="557EF2B8" w14:textId="77777777" w:rsidR="00517619" w:rsidRDefault="00517619" w:rsidP="00F731F9">
            <w:pPr>
              <w:pStyle w:val="TableParagraph"/>
              <w:spacing w:line="240" w:lineRule="auto"/>
              <w:ind w:right="91"/>
              <w:jc w:val="both"/>
              <w:rPr>
                <w:sz w:val="24"/>
              </w:rPr>
            </w:pPr>
            <w:r>
              <w:rPr>
                <w:sz w:val="24"/>
              </w:rPr>
              <w:t>In case the daily price limit of 6% is also breached, then after a cooling off period of 15 minutes, the daily price limit will be</w:t>
            </w:r>
            <w:r>
              <w:rPr>
                <w:spacing w:val="40"/>
                <w:sz w:val="24"/>
              </w:rPr>
              <w:t xml:space="preserve"> </w:t>
            </w:r>
            <w:r>
              <w:rPr>
                <w:sz w:val="24"/>
              </w:rPr>
              <w:t xml:space="preserve">relaxed </w:t>
            </w:r>
            <w:proofErr w:type="spellStart"/>
            <w:r>
              <w:rPr>
                <w:sz w:val="24"/>
              </w:rPr>
              <w:t>upto</w:t>
            </w:r>
            <w:proofErr w:type="spellEnd"/>
            <w:r>
              <w:rPr>
                <w:sz w:val="24"/>
              </w:rPr>
              <w:t xml:space="preserve"> 9%.</w:t>
            </w:r>
          </w:p>
          <w:p w14:paraId="02326466" w14:textId="77777777" w:rsidR="00517619" w:rsidRDefault="00517619" w:rsidP="00F731F9">
            <w:pPr>
              <w:pStyle w:val="TableParagraph"/>
              <w:spacing w:before="270" w:line="240" w:lineRule="auto"/>
              <w:ind w:right="91"/>
              <w:jc w:val="both"/>
              <w:rPr>
                <w:sz w:val="24"/>
              </w:rPr>
            </w:pPr>
            <w:r>
              <w:rPr>
                <w:sz w:val="24"/>
              </w:rPr>
              <w:t>In case price movement in underlying Commodity Index is more than</w:t>
            </w:r>
            <w:r>
              <w:rPr>
                <w:spacing w:val="7"/>
                <w:sz w:val="24"/>
              </w:rPr>
              <w:t xml:space="preserve"> </w:t>
            </w:r>
            <w:r>
              <w:rPr>
                <w:sz w:val="24"/>
              </w:rPr>
              <w:t>the</w:t>
            </w:r>
            <w:r>
              <w:rPr>
                <w:spacing w:val="7"/>
                <w:sz w:val="24"/>
              </w:rPr>
              <w:t xml:space="preserve"> </w:t>
            </w:r>
            <w:r>
              <w:rPr>
                <w:sz w:val="24"/>
              </w:rPr>
              <w:t>maximum</w:t>
            </w:r>
            <w:r>
              <w:rPr>
                <w:spacing w:val="9"/>
                <w:sz w:val="24"/>
              </w:rPr>
              <w:t xml:space="preserve"> </w:t>
            </w:r>
            <w:r>
              <w:rPr>
                <w:sz w:val="24"/>
              </w:rPr>
              <w:t>daily</w:t>
            </w:r>
            <w:r>
              <w:rPr>
                <w:spacing w:val="1"/>
                <w:sz w:val="24"/>
              </w:rPr>
              <w:t xml:space="preserve"> </w:t>
            </w:r>
            <w:r>
              <w:rPr>
                <w:sz w:val="24"/>
              </w:rPr>
              <w:t>price</w:t>
            </w:r>
            <w:r>
              <w:rPr>
                <w:spacing w:val="7"/>
                <w:sz w:val="24"/>
              </w:rPr>
              <w:t xml:space="preserve"> </w:t>
            </w:r>
            <w:r>
              <w:rPr>
                <w:sz w:val="24"/>
              </w:rPr>
              <w:t>limit</w:t>
            </w:r>
            <w:r>
              <w:rPr>
                <w:spacing w:val="8"/>
                <w:sz w:val="24"/>
              </w:rPr>
              <w:t xml:space="preserve"> </w:t>
            </w:r>
            <w:r>
              <w:rPr>
                <w:sz w:val="24"/>
              </w:rPr>
              <w:t>of</w:t>
            </w:r>
            <w:r>
              <w:rPr>
                <w:spacing w:val="7"/>
                <w:sz w:val="24"/>
              </w:rPr>
              <w:t xml:space="preserve"> </w:t>
            </w:r>
            <w:r>
              <w:rPr>
                <w:sz w:val="24"/>
              </w:rPr>
              <w:t>index</w:t>
            </w:r>
            <w:r>
              <w:rPr>
                <w:spacing w:val="10"/>
                <w:sz w:val="24"/>
              </w:rPr>
              <w:t xml:space="preserve"> </w:t>
            </w:r>
            <w:r>
              <w:rPr>
                <w:sz w:val="24"/>
              </w:rPr>
              <w:t>futures</w:t>
            </w:r>
            <w:r>
              <w:rPr>
                <w:spacing w:val="8"/>
                <w:sz w:val="24"/>
              </w:rPr>
              <w:t xml:space="preserve"> </w:t>
            </w:r>
            <w:r>
              <w:rPr>
                <w:sz w:val="24"/>
              </w:rPr>
              <w:t>(currently</w:t>
            </w:r>
            <w:r>
              <w:rPr>
                <w:spacing w:val="4"/>
                <w:sz w:val="24"/>
              </w:rPr>
              <w:t xml:space="preserve"> </w:t>
            </w:r>
            <w:r>
              <w:rPr>
                <w:spacing w:val="-4"/>
                <w:sz w:val="24"/>
              </w:rPr>
              <w:t>9%),</w:t>
            </w:r>
          </w:p>
          <w:p w14:paraId="62425194" w14:textId="77777777" w:rsidR="00517619" w:rsidRDefault="00517619" w:rsidP="00F731F9">
            <w:pPr>
              <w:pStyle w:val="TableParagraph"/>
              <w:spacing w:line="270" w:lineRule="atLeast"/>
              <w:ind w:right="91"/>
              <w:jc w:val="both"/>
              <w:rPr>
                <w:sz w:val="24"/>
              </w:rPr>
            </w:pPr>
            <w:r>
              <w:rPr>
                <w:sz w:val="24"/>
              </w:rPr>
              <w:t>the</w:t>
            </w:r>
            <w:r>
              <w:rPr>
                <w:spacing w:val="-2"/>
                <w:sz w:val="24"/>
              </w:rPr>
              <w:t xml:space="preserve"> </w:t>
            </w:r>
            <w:r>
              <w:rPr>
                <w:sz w:val="24"/>
              </w:rPr>
              <w:t>price</w:t>
            </w:r>
            <w:r>
              <w:rPr>
                <w:spacing w:val="-2"/>
                <w:sz w:val="24"/>
              </w:rPr>
              <w:t xml:space="preserve"> </w:t>
            </w:r>
            <w:r>
              <w:rPr>
                <w:sz w:val="24"/>
              </w:rPr>
              <w:t>limit</w:t>
            </w:r>
            <w:r>
              <w:rPr>
                <w:spacing w:val="-1"/>
                <w:sz w:val="24"/>
              </w:rPr>
              <w:t xml:space="preserve"> </w:t>
            </w:r>
            <w:r>
              <w:rPr>
                <w:sz w:val="24"/>
              </w:rPr>
              <w:t>of</w:t>
            </w:r>
            <w:r>
              <w:rPr>
                <w:spacing w:val="-2"/>
                <w:sz w:val="24"/>
              </w:rPr>
              <w:t xml:space="preserve"> </w:t>
            </w:r>
            <w:r>
              <w:rPr>
                <w:sz w:val="24"/>
              </w:rPr>
              <w:t>the</w:t>
            </w:r>
            <w:r>
              <w:rPr>
                <w:spacing w:val="-2"/>
                <w:sz w:val="24"/>
              </w:rPr>
              <w:t xml:space="preserve"> </w:t>
            </w:r>
            <w:r>
              <w:rPr>
                <w:sz w:val="24"/>
              </w:rPr>
              <w:t>index futures</w:t>
            </w:r>
            <w:r>
              <w:rPr>
                <w:spacing w:val="-1"/>
                <w:sz w:val="24"/>
              </w:rPr>
              <w:t xml:space="preserve"> </w:t>
            </w:r>
            <w:r>
              <w:rPr>
                <w:sz w:val="24"/>
              </w:rPr>
              <w:t>may</w:t>
            </w:r>
            <w:r>
              <w:rPr>
                <w:spacing w:val="-9"/>
                <w:sz w:val="24"/>
              </w:rPr>
              <w:t xml:space="preserve"> </w:t>
            </w:r>
            <w:r>
              <w:rPr>
                <w:sz w:val="24"/>
              </w:rPr>
              <w:t>be</w:t>
            </w:r>
            <w:r>
              <w:rPr>
                <w:spacing w:val="-2"/>
                <w:sz w:val="24"/>
              </w:rPr>
              <w:t xml:space="preserve"> </w:t>
            </w:r>
            <w:r>
              <w:rPr>
                <w:sz w:val="24"/>
              </w:rPr>
              <w:t>further relaxed</w:t>
            </w:r>
            <w:r>
              <w:rPr>
                <w:spacing w:val="-1"/>
                <w:sz w:val="24"/>
              </w:rPr>
              <w:t xml:space="preserve"> </w:t>
            </w:r>
            <w:r>
              <w:rPr>
                <w:sz w:val="24"/>
              </w:rPr>
              <w:t>in</w:t>
            </w:r>
            <w:r>
              <w:rPr>
                <w:spacing w:val="-1"/>
                <w:sz w:val="24"/>
              </w:rPr>
              <w:t xml:space="preserve"> </w:t>
            </w:r>
            <w:r>
              <w:rPr>
                <w:sz w:val="24"/>
              </w:rPr>
              <w:t>steps</w:t>
            </w:r>
            <w:r>
              <w:rPr>
                <w:spacing w:val="-1"/>
                <w:sz w:val="24"/>
              </w:rPr>
              <w:t xml:space="preserve"> </w:t>
            </w:r>
            <w:r>
              <w:rPr>
                <w:sz w:val="24"/>
              </w:rPr>
              <w:t>of 3% and informed to the Regulator immediately</w:t>
            </w:r>
          </w:p>
        </w:tc>
      </w:tr>
      <w:tr w:rsidR="00517619" w14:paraId="371B8954" w14:textId="77777777" w:rsidTr="00F731F9">
        <w:trPr>
          <w:trHeight w:val="275"/>
        </w:trPr>
        <w:tc>
          <w:tcPr>
            <w:tcW w:w="2561" w:type="dxa"/>
          </w:tcPr>
          <w:p w14:paraId="36AC1121" w14:textId="77777777" w:rsidR="00517619" w:rsidRDefault="00517619" w:rsidP="00F731F9">
            <w:pPr>
              <w:pStyle w:val="TableParagraph"/>
              <w:spacing w:line="255" w:lineRule="exact"/>
              <w:ind w:left="107"/>
              <w:rPr>
                <w:b/>
                <w:sz w:val="24"/>
              </w:rPr>
            </w:pPr>
            <w:r>
              <w:rPr>
                <w:b/>
                <w:sz w:val="24"/>
              </w:rPr>
              <w:t xml:space="preserve">Initial </w:t>
            </w:r>
            <w:r>
              <w:rPr>
                <w:b/>
                <w:spacing w:val="-2"/>
                <w:sz w:val="24"/>
              </w:rPr>
              <w:t>Margin*</w:t>
            </w:r>
          </w:p>
        </w:tc>
        <w:tc>
          <w:tcPr>
            <w:tcW w:w="6800" w:type="dxa"/>
          </w:tcPr>
          <w:p w14:paraId="0219E965" w14:textId="77777777" w:rsidR="00517619" w:rsidRDefault="00517619" w:rsidP="00F731F9">
            <w:pPr>
              <w:pStyle w:val="TableParagraph"/>
              <w:spacing w:line="255" w:lineRule="exact"/>
              <w:rPr>
                <w:sz w:val="24"/>
              </w:rPr>
            </w:pPr>
            <w:r>
              <w:rPr>
                <w:sz w:val="24"/>
              </w:rPr>
              <w:t>Minimum</w:t>
            </w:r>
            <w:r>
              <w:rPr>
                <w:spacing w:val="-1"/>
                <w:sz w:val="24"/>
              </w:rPr>
              <w:t xml:space="preserve"> </w:t>
            </w:r>
            <w:r>
              <w:rPr>
                <w:sz w:val="24"/>
              </w:rPr>
              <w:t>5%</w:t>
            </w:r>
            <w:r>
              <w:rPr>
                <w:spacing w:val="-2"/>
                <w:sz w:val="24"/>
              </w:rPr>
              <w:t xml:space="preserve"> </w:t>
            </w:r>
            <w:r>
              <w:rPr>
                <w:sz w:val="24"/>
              </w:rPr>
              <w:t>or</w:t>
            </w:r>
            <w:r>
              <w:rPr>
                <w:spacing w:val="-1"/>
                <w:sz w:val="24"/>
              </w:rPr>
              <w:t xml:space="preserve"> </w:t>
            </w:r>
            <w:r>
              <w:rPr>
                <w:sz w:val="24"/>
              </w:rPr>
              <w:t>based on</w:t>
            </w:r>
            <w:r>
              <w:rPr>
                <w:spacing w:val="-1"/>
                <w:sz w:val="24"/>
              </w:rPr>
              <w:t xml:space="preserve"> </w:t>
            </w:r>
            <w:r>
              <w:rPr>
                <w:sz w:val="24"/>
              </w:rPr>
              <w:t>SPAN</w:t>
            </w:r>
            <w:r>
              <w:rPr>
                <w:spacing w:val="-2"/>
                <w:sz w:val="24"/>
              </w:rPr>
              <w:t xml:space="preserve"> </w:t>
            </w:r>
            <w:r>
              <w:rPr>
                <w:sz w:val="24"/>
              </w:rPr>
              <w:t>whichever</w:t>
            </w:r>
            <w:r>
              <w:rPr>
                <w:spacing w:val="-1"/>
                <w:sz w:val="24"/>
              </w:rPr>
              <w:t xml:space="preserve"> </w:t>
            </w:r>
            <w:r>
              <w:rPr>
                <w:sz w:val="24"/>
              </w:rPr>
              <w:t xml:space="preserve">is </w:t>
            </w:r>
            <w:r>
              <w:rPr>
                <w:spacing w:val="-2"/>
                <w:sz w:val="24"/>
              </w:rPr>
              <w:t>higher</w:t>
            </w:r>
          </w:p>
        </w:tc>
      </w:tr>
      <w:tr w:rsidR="00517619" w14:paraId="5D2AEA0F" w14:textId="77777777" w:rsidTr="00F731F9">
        <w:trPr>
          <w:trHeight w:val="275"/>
        </w:trPr>
        <w:tc>
          <w:tcPr>
            <w:tcW w:w="2561" w:type="dxa"/>
          </w:tcPr>
          <w:p w14:paraId="367039DB" w14:textId="77777777" w:rsidR="00517619" w:rsidRDefault="00517619" w:rsidP="00F731F9">
            <w:pPr>
              <w:pStyle w:val="TableParagraph"/>
              <w:spacing w:line="255" w:lineRule="exact"/>
              <w:ind w:left="107"/>
              <w:rPr>
                <w:b/>
                <w:sz w:val="24"/>
              </w:rPr>
            </w:pPr>
            <w:r>
              <w:rPr>
                <w:b/>
                <w:sz w:val="24"/>
              </w:rPr>
              <w:t>Extreme</w:t>
            </w:r>
            <w:r>
              <w:rPr>
                <w:b/>
                <w:spacing w:val="-4"/>
                <w:sz w:val="24"/>
              </w:rPr>
              <w:t xml:space="preserve"> </w:t>
            </w:r>
            <w:r>
              <w:rPr>
                <w:b/>
                <w:sz w:val="24"/>
              </w:rPr>
              <w:t>Loss</w:t>
            </w:r>
            <w:r>
              <w:rPr>
                <w:b/>
                <w:spacing w:val="-2"/>
                <w:sz w:val="24"/>
              </w:rPr>
              <w:t xml:space="preserve"> Margin</w:t>
            </w:r>
          </w:p>
        </w:tc>
        <w:tc>
          <w:tcPr>
            <w:tcW w:w="6800" w:type="dxa"/>
          </w:tcPr>
          <w:p w14:paraId="0A6844FA" w14:textId="77777777" w:rsidR="00517619" w:rsidRDefault="00517619" w:rsidP="00F731F9">
            <w:pPr>
              <w:pStyle w:val="TableParagraph"/>
              <w:spacing w:line="255" w:lineRule="exact"/>
              <w:rPr>
                <w:sz w:val="24"/>
              </w:rPr>
            </w:pPr>
            <w:r>
              <w:rPr>
                <w:sz w:val="24"/>
              </w:rPr>
              <w:t xml:space="preserve">Minimum </w:t>
            </w:r>
            <w:r>
              <w:rPr>
                <w:spacing w:val="-5"/>
                <w:sz w:val="24"/>
              </w:rPr>
              <w:t>1%</w:t>
            </w:r>
          </w:p>
        </w:tc>
      </w:tr>
      <w:tr w:rsidR="00517619" w14:paraId="0FE873AE" w14:textId="77777777" w:rsidTr="00F731F9">
        <w:trPr>
          <w:trHeight w:val="1105"/>
        </w:trPr>
        <w:tc>
          <w:tcPr>
            <w:tcW w:w="2561" w:type="dxa"/>
          </w:tcPr>
          <w:p w14:paraId="526226FA" w14:textId="77777777" w:rsidR="00517619" w:rsidRDefault="00517619" w:rsidP="00F731F9">
            <w:pPr>
              <w:pStyle w:val="TableParagraph"/>
              <w:spacing w:before="1" w:line="240" w:lineRule="auto"/>
              <w:ind w:left="107"/>
              <w:rPr>
                <w:b/>
                <w:sz w:val="24"/>
              </w:rPr>
            </w:pPr>
            <w:r>
              <w:rPr>
                <w:b/>
                <w:sz w:val="24"/>
              </w:rPr>
              <w:t>Additional</w:t>
            </w:r>
            <w:r>
              <w:rPr>
                <w:b/>
                <w:spacing w:val="-12"/>
                <w:sz w:val="24"/>
              </w:rPr>
              <w:t xml:space="preserve"> </w:t>
            </w:r>
            <w:r>
              <w:rPr>
                <w:b/>
                <w:sz w:val="24"/>
              </w:rPr>
              <w:t>and</w:t>
            </w:r>
            <w:r>
              <w:rPr>
                <w:b/>
                <w:spacing w:val="-12"/>
                <w:sz w:val="24"/>
              </w:rPr>
              <w:t xml:space="preserve"> </w:t>
            </w:r>
            <w:r>
              <w:rPr>
                <w:b/>
                <w:sz w:val="24"/>
              </w:rPr>
              <w:t>/</w:t>
            </w:r>
            <w:r>
              <w:rPr>
                <w:b/>
                <w:spacing w:val="-12"/>
                <w:sz w:val="24"/>
              </w:rPr>
              <w:t xml:space="preserve"> </w:t>
            </w:r>
            <w:r>
              <w:rPr>
                <w:b/>
                <w:sz w:val="24"/>
              </w:rPr>
              <w:t>or Special Margin</w:t>
            </w:r>
          </w:p>
        </w:tc>
        <w:tc>
          <w:tcPr>
            <w:tcW w:w="6800" w:type="dxa"/>
          </w:tcPr>
          <w:p w14:paraId="1A7E2362" w14:textId="77777777" w:rsidR="00517619" w:rsidRDefault="00517619" w:rsidP="00F731F9">
            <w:pPr>
              <w:pStyle w:val="TableParagraph"/>
              <w:spacing w:line="240" w:lineRule="auto"/>
              <w:rPr>
                <w:sz w:val="24"/>
              </w:rPr>
            </w:pPr>
            <w:r>
              <w:rPr>
                <w:sz w:val="24"/>
              </w:rPr>
              <w:t>In case of additional volatility, an additional margin (on both buy</w:t>
            </w:r>
            <w:r>
              <w:rPr>
                <w:spacing w:val="-2"/>
                <w:sz w:val="24"/>
              </w:rPr>
              <w:t xml:space="preserve"> </w:t>
            </w:r>
            <w:r>
              <w:rPr>
                <w:sz w:val="24"/>
              </w:rPr>
              <w:t>&amp; sell</w:t>
            </w:r>
            <w:r>
              <w:rPr>
                <w:spacing w:val="9"/>
                <w:sz w:val="24"/>
              </w:rPr>
              <w:t xml:space="preserve"> </w:t>
            </w:r>
            <w:r>
              <w:rPr>
                <w:sz w:val="24"/>
              </w:rPr>
              <w:t>side)</w:t>
            </w:r>
            <w:r>
              <w:rPr>
                <w:spacing w:val="8"/>
                <w:sz w:val="24"/>
              </w:rPr>
              <w:t xml:space="preserve"> </w:t>
            </w:r>
            <w:r>
              <w:rPr>
                <w:sz w:val="24"/>
              </w:rPr>
              <w:t>and</w:t>
            </w:r>
            <w:r>
              <w:rPr>
                <w:spacing w:val="11"/>
                <w:sz w:val="24"/>
              </w:rPr>
              <w:t xml:space="preserve"> </w:t>
            </w:r>
            <w:r>
              <w:rPr>
                <w:sz w:val="24"/>
              </w:rPr>
              <w:t>/</w:t>
            </w:r>
            <w:r>
              <w:rPr>
                <w:spacing w:val="9"/>
                <w:sz w:val="24"/>
              </w:rPr>
              <w:t xml:space="preserve"> </w:t>
            </w:r>
            <w:r>
              <w:rPr>
                <w:sz w:val="24"/>
              </w:rPr>
              <w:t>or</w:t>
            </w:r>
            <w:r>
              <w:rPr>
                <w:spacing w:val="10"/>
                <w:sz w:val="24"/>
              </w:rPr>
              <w:t xml:space="preserve"> </w:t>
            </w:r>
            <w:r>
              <w:rPr>
                <w:sz w:val="24"/>
              </w:rPr>
              <w:t>special</w:t>
            </w:r>
            <w:r>
              <w:rPr>
                <w:spacing w:val="9"/>
                <w:sz w:val="24"/>
              </w:rPr>
              <w:t xml:space="preserve"> </w:t>
            </w:r>
            <w:r>
              <w:rPr>
                <w:sz w:val="24"/>
              </w:rPr>
              <w:t>margin</w:t>
            </w:r>
            <w:r>
              <w:rPr>
                <w:spacing w:val="9"/>
                <w:sz w:val="24"/>
              </w:rPr>
              <w:t xml:space="preserve"> </w:t>
            </w:r>
            <w:r>
              <w:rPr>
                <w:sz w:val="24"/>
              </w:rPr>
              <w:t>(on</w:t>
            </w:r>
            <w:r>
              <w:rPr>
                <w:spacing w:val="10"/>
                <w:sz w:val="24"/>
              </w:rPr>
              <w:t xml:space="preserve"> </w:t>
            </w:r>
            <w:r>
              <w:rPr>
                <w:sz w:val="24"/>
              </w:rPr>
              <w:t>either</w:t>
            </w:r>
            <w:r>
              <w:rPr>
                <w:spacing w:val="10"/>
                <w:sz w:val="24"/>
              </w:rPr>
              <w:t xml:space="preserve"> </w:t>
            </w:r>
            <w:r>
              <w:rPr>
                <w:sz w:val="24"/>
              </w:rPr>
              <w:t>buy</w:t>
            </w:r>
            <w:r>
              <w:rPr>
                <w:spacing w:val="4"/>
                <w:sz w:val="24"/>
              </w:rPr>
              <w:t xml:space="preserve"> </w:t>
            </w:r>
            <w:r>
              <w:rPr>
                <w:sz w:val="24"/>
              </w:rPr>
              <w:t>or</w:t>
            </w:r>
            <w:r>
              <w:rPr>
                <w:spacing w:val="8"/>
                <w:sz w:val="24"/>
              </w:rPr>
              <w:t xml:space="preserve"> </w:t>
            </w:r>
            <w:r>
              <w:rPr>
                <w:sz w:val="24"/>
              </w:rPr>
              <w:t>sell</w:t>
            </w:r>
            <w:r>
              <w:rPr>
                <w:spacing w:val="10"/>
                <w:sz w:val="24"/>
              </w:rPr>
              <w:t xml:space="preserve"> </w:t>
            </w:r>
            <w:r>
              <w:rPr>
                <w:sz w:val="24"/>
              </w:rPr>
              <w:t>side)</w:t>
            </w:r>
            <w:r>
              <w:rPr>
                <w:spacing w:val="10"/>
                <w:sz w:val="24"/>
              </w:rPr>
              <w:t xml:space="preserve"> </w:t>
            </w:r>
            <w:r>
              <w:rPr>
                <w:sz w:val="24"/>
              </w:rPr>
              <w:t>at</w:t>
            </w:r>
            <w:r>
              <w:rPr>
                <w:spacing w:val="9"/>
                <w:sz w:val="24"/>
              </w:rPr>
              <w:t xml:space="preserve"> </w:t>
            </w:r>
            <w:r>
              <w:rPr>
                <w:spacing w:val="-4"/>
                <w:sz w:val="24"/>
              </w:rPr>
              <w:t>such</w:t>
            </w:r>
          </w:p>
          <w:p w14:paraId="742022EA" w14:textId="77777777" w:rsidR="00517619" w:rsidRDefault="00517619" w:rsidP="00F731F9">
            <w:pPr>
              <w:pStyle w:val="TableParagraph"/>
              <w:spacing w:line="270" w:lineRule="atLeast"/>
              <w:rPr>
                <w:sz w:val="24"/>
              </w:rPr>
            </w:pPr>
            <w:r>
              <w:rPr>
                <w:sz w:val="24"/>
              </w:rPr>
              <w:t>percentage,</w:t>
            </w:r>
            <w:r>
              <w:rPr>
                <w:spacing w:val="80"/>
                <w:sz w:val="24"/>
              </w:rPr>
              <w:t xml:space="preserve"> </w:t>
            </w:r>
            <w:r>
              <w:rPr>
                <w:sz w:val="24"/>
              </w:rPr>
              <w:t>as</w:t>
            </w:r>
            <w:r>
              <w:rPr>
                <w:spacing w:val="80"/>
                <w:sz w:val="24"/>
              </w:rPr>
              <w:t xml:space="preserve"> </w:t>
            </w:r>
            <w:r>
              <w:rPr>
                <w:sz w:val="24"/>
              </w:rPr>
              <w:t>deemed</w:t>
            </w:r>
            <w:r>
              <w:rPr>
                <w:spacing w:val="80"/>
                <w:sz w:val="24"/>
              </w:rPr>
              <w:t xml:space="preserve"> </w:t>
            </w:r>
            <w:r>
              <w:rPr>
                <w:sz w:val="24"/>
              </w:rPr>
              <w:t>fit,</w:t>
            </w:r>
            <w:r>
              <w:rPr>
                <w:spacing w:val="80"/>
                <w:sz w:val="24"/>
              </w:rPr>
              <w:t xml:space="preserve"> </w:t>
            </w:r>
            <w:r>
              <w:rPr>
                <w:sz w:val="24"/>
              </w:rPr>
              <w:t>will</w:t>
            </w:r>
            <w:r>
              <w:rPr>
                <w:spacing w:val="80"/>
                <w:sz w:val="24"/>
              </w:rPr>
              <w:t xml:space="preserve"> </w:t>
            </w:r>
            <w:r>
              <w:rPr>
                <w:sz w:val="24"/>
              </w:rPr>
              <w:t>be</w:t>
            </w:r>
            <w:r>
              <w:rPr>
                <w:spacing w:val="80"/>
                <w:sz w:val="24"/>
              </w:rPr>
              <w:t xml:space="preserve"> </w:t>
            </w:r>
            <w:r>
              <w:rPr>
                <w:sz w:val="24"/>
              </w:rPr>
              <w:t>imposed</w:t>
            </w:r>
            <w:r>
              <w:rPr>
                <w:spacing w:val="80"/>
                <w:sz w:val="24"/>
              </w:rPr>
              <w:t xml:space="preserve"> </w:t>
            </w:r>
            <w:r>
              <w:rPr>
                <w:sz w:val="24"/>
              </w:rPr>
              <w:t>in</w:t>
            </w:r>
            <w:r>
              <w:rPr>
                <w:spacing w:val="80"/>
                <w:sz w:val="24"/>
              </w:rPr>
              <w:t xml:space="preserve"> </w:t>
            </w:r>
            <w:r>
              <w:rPr>
                <w:sz w:val="24"/>
              </w:rPr>
              <w:t>respect</w:t>
            </w:r>
            <w:r>
              <w:rPr>
                <w:spacing w:val="80"/>
                <w:sz w:val="24"/>
              </w:rPr>
              <w:t xml:space="preserve"> </w:t>
            </w:r>
            <w:r>
              <w:rPr>
                <w:sz w:val="24"/>
              </w:rPr>
              <w:t>of</w:t>
            </w:r>
            <w:r>
              <w:rPr>
                <w:spacing w:val="80"/>
                <w:sz w:val="24"/>
              </w:rPr>
              <w:t xml:space="preserve"> </w:t>
            </w:r>
            <w:r>
              <w:rPr>
                <w:sz w:val="24"/>
              </w:rPr>
              <w:t>all outstanding positions.</w:t>
            </w:r>
          </w:p>
        </w:tc>
      </w:tr>
      <w:tr w:rsidR="00517619" w14:paraId="1EF5A07C" w14:textId="77777777" w:rsidTr="00F731F9">
        <w:trPr>
          <w:trHeight w:val="551"/>
        </w:trPr>
        <w:tc>
          <w:tcPr>
            <w:tcW w:w="2561" w:type="dxa"/>
          </w:tcPr>
          <w:p w14:paraId="63AA99AC" w14:textId="77777777" w:rsidR="00517619" w:rsidRDefault="00517619" w:rsidP="00F731F9">
            <w:pPr>
              <w:pStyle w:val="TableParagraph"/>
              <w:spacing w:line="276" w:lineRule="exact"/>
              <w:ind w:left="107" w:right="280"/>
              <w:rPr>
                <w:b/>
                <w:sz w:val="24"/>
              </w:rPr>
            </w:pPr>
            <w:r>
              <w:rPr>
                <w:b/>
                <w:sz w:val="24"/>
              </w:rPr>
              <w:t>Maximum</w:t>
            </w:r>
            <w:r>
              <w:rPr>
                <w:b/>
                <w:spacing w:val="-15"/>
                <w:sz w:val="24"/>
              </w:rPr>
              <w:t xml:space="preserve"> </w:t>
            </w:r>
            <w:r>
              <w:rPr>
                <w:b/>
                <w:sz w:val="24"/>
              </w:rPr>
              <w:t>Allowable Open Position</w:t>
            </w:r>
          </w:p>
        </w:tc>
        <w:tc>
          <w:tcPr>
            <w:tcW w:w="6800" w:type="dxa"/>
          </w:tcPr>
          <w:p w14:paraId="22D655EB" w14:textId="77777777" w:rsidR="00517619" w:rsidRDefault="00517619" w:rsidP="00F731F9">
            <w:pPr>
              <w:pStyle w:val="TableParagraph"/>
              <w:tabs>
                <w:tab w:val="left" w:pos="3743"/>
              </w:tabs>
              <w:spacing w:line="270" w:lineRule="exact"/>
              <w:rPr>
                <w:sz w:val="24"/>
              </w:rPr>
            </w:pPr>
            <w:r>
              <w:rPr>
                <w:sz w:val="24"/>
              </w:rPr>
              <w:t>For</w:t>
            </w:r>
            <w:r>
              <w:rPr>
                <w:spacing w:val="60"/>
                <w:sz w:val="24"/>
              </w:rPr>
              <w:t xml:space="preserve"> </w:t>
            </w:r>
            <w:r>
              <w:rPr>
                <w:sz w:val="24"/>
              </w:rPr>
              <w:t>individual</w:t>
            </w:r>
            <w:r>
              <w:rPr>
                <w:spacing w:val="63"/>
                <w:sz w:val="24"/>
              </w:rPr>
              <w:t xml:space="preserve"> </w:t>
            </w:r>
            <w:r>
              <w:rPr>
                <w:sz w:val="24"/>
              </w:rPr>
              <w:t>clients:</w:t>
            </w:r>
            <w:r>
              <w:rPr>
                <w:spacing w:val="66"/>
                <w:sz w:val="24"/>
              </w:rPr>
              <w:t xml:space="preserve"> </w:t>
            </w:r>
            <w:r>
              <w:rPr>
                <w:sz w:val="24"/>
              </w:rPr>
              <w:t>1,000</w:t>
            </w:r>
            <w:r>
              <w:rPr>
                <w:spacing w:val="63"/>
                <w:sz w:val="24"/>
              </w:rPr>
              <w:t xml:space="preserve"> </w:t>
            </w:r>
            <w:r>
              <w:rPr>
                <w:spacing w:val="-4"/>
                <w:sz w:val="24"/>
              </w:rPr>
              <w:t>lots</w:t>
            </w:r>
            <w:r>
              <w:rPr>
                <w:sz w:val="24"/>
              </w:rPr>
              <w:tab/>
              <w:t>or</w:t>
            </w:r>
            <w:r>
              <w:rPr>
                <w:spacing w:val="62"/>
                <w:sz w:val="24"/>
              </w:rPr>
              <w:t xml:space="preserve"> </w:t>
            </w:r>
            <w:r>
              <w:rPr>
                <w:sz w:val="24"/>
              </w:rPr>
              <w:t>5%</w:t>
            </w:r>
            <w:r>
              <w:rPr>
                <w:spacing w:val="63"/>
                <w:sz w:val="24"/>
              </w:rPr>
              <w:t xml:space="preserve"> </w:t>
            </w:r>
            <w:r>
              <w:rPr>
                <w:sz w:val="24"/>
              </w:rPr>
              <w:t>of</w:t>
            </w:r>
            <w:r>
              <w:rPr>
                <w:spacing w:val="66"/>
                <w:sz w:val="24"/>
              </w:rPr>
              <w:t xml:space="preserve"> </w:t>
            </w:r>
            <w:r>
              <w:rPr>
                <w:sz w:val="24"/>
              </w:rPr>
              <w:t>market</w:t>
            </w:r>
            <w:r>
              <w:rPr>
                <w:spacing w:val="65"/>
                <w:sz w:val="24"/>
              </w:rPr>
              <w:t xml:space="preserve"> </w:t>
            </w:r>
            <w:r>
              <w:rPr>
                <w:sz w:val="24"/>
              </w:rPr>
              <w:t>wide</w:t>
            </w:r>
            <w:r>
              <w:rPr>
                <w:spacing w:val="65"/>
                <w:sz w:val="24"/>
              </w:rPr>
              <w:t xml:space="preserve"> </w:t>
            </w:r>
            <w:r>
              <w:rPr>
                <w:spacing w:val="-4"/>
                <w:sz w:val="24"/>
              </w:rPr>
              <w:t>open</w:t>
            </w:r>
          </w:p>
          <w:p w14:paraId="13AAEA92" w14:textId="77777777" w:rsidR="00517619" w:rsidRDefault="00517619" w:rsidP="00F731F9">
            <w:pPr>
              <w:pStyle w:val="TableParagraph"/>
              <w:spacing w:line="261" w:lineRule="exact"/>
              <w:rPr>
                <w:sz w:val="24"/>
              </w:rPr>
            </w:pPr>
            <w:r>
              <w:rPr>
                <w:sz w:val="24"/>
              </w:rPr>
              <w:t>position, whichever is higher for</w:t>
            </w:r>
            <w:r>
              <w:rPr>
                <w:spacing w:val="-1"/>
                <w:sz w:val="24"/>
              </w:rPr>
              <w:t xml:space="preserve"> </w:t>
            </w:r>
            <w:r>
              <w:rPr>
                <w:sz w:val="24"/>
              </w:rPr>
              <w:t>all</w:t>
            </w:r>
            <w:r>
              <w:rPr>
                <w:spacing w:val="1"/>
                <w:sz w:val="24"/>
              </w:rPr>
              <w:t xml:space="preserve"> </w:t>
            </w:r>
            <w:r>
              <w:rPr>
                <w:sz w:val="24"/>
              </w:rPr>
              <w:t>MCX</w:t>
            </w:r>
            <w:r>
              <w:rPr>
                <w:spacing w:val="-1"/>
                <w:sz w:val="24"/>
              </w:rPr>
              <w:t xml:space="preserve"> </w:t>
            </w:r>
            <w:proofErr w:type="spellStart"/>
            <w:r>
              <w:rPr>
                <w:sz w:val="24"/>
              </w:rPr>
              <w:t>iCOMDEX</w:t>
            </w:r>
            <w:proofErr w:type="spellEnd"/>
            <w:r>
              <w:rPr>
                <w:sz w:val="24"/>
              </w:rPr>
              <w:t xml:space="preserve"> Bullion</w:t>
            </w:r>
            <w:r>
              <w:rPr>
                <w:spacing w:val="1"/>
                <w:sz w:val="24"/>
              </w:rPr>
              <w:t xml:space="preserve"> </w:t>
            </w:r>
            <w:r>
              <w:rPr>
                <w:spacing w:val="-2"/>
                <w:sz w:val="24"/>
              </w:rPr>
              <w:t>index</w:t>
            </w:r>
          </w:p>
        </w:tc>
      </w:tr>
    </w:tbl>
    <w:p w14:paraId="501A666D" w14:textId="77777777" w:rsidR="00517619" w:rsidRDefault="00517619" w:rsidP="00517619">
      <w:pPr>
        <w:spacing w:line="261" w:lineRule="exact"/>
        <w:rPr>
          <w:sz w:val="24"/>
        </w:rPr>
        <w:sectPr w:rsidR="00517619" w:rsidSect="00517619">
          <w:pgSz w:w="11910" w:h="16840"/>
          <w:pgMar w:top="1740" w:right="1040" w:bottom="1187" w:left="1020" w:header="720" w:footer="720" w:gutter="0"/>
          <w:cols w:space="720"/>
        </w:sectPr>
      </w:pPr>
    </w:p>
    <w:tbl>
      <w:tblPr>
        <w:tblW w:w="0" w:type="auto"/>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561"/>
        <w:gridCol w:w="6800"/>
      </w:tblGrid>
      <w:tr w:rsidR="00517619" w14:paraId="5019FFC4" w14:textId="77777777" w:rsidTr="00F731F9">
        <w:trPr>
          <w:trHeight w:val="1103"/>
        </w:trPr>
        <w:tc>
          <w:tcPr>
            <w:tcW w:w="2561" w:type="dxa"/>
          </w:tcPr>
          <w:p w14:paraId="1FD831FA" w14:textId="77777777" w:rsidR="00517619" w:rsidRDefault="00517619" w:rsidP="00F731F9">
            <w:pPr>
              <w:pStyle w:val="TableParagraph"/>
              <w:spacing w:line="240" w:lineRule="auto"/>
              <w:ind w:left="0"/>
              <w:rPr>
                <w:sz w:val="24"/>
              </w:rPr>
            </w:pPr>
          </w:p>
        </w:tc>
        <w:tc>
          <w:tcPr>
            <w:tcW w:w="6800" w:type="dxa"/>
          </w:tcPr>
          <w:p w14:paraId="4401F725" w14:textId="77777777" w:rsidR="00517619" w:rsidRDefault="00517619" w:rsidP="00F731F9">
            <w:pPr>
              <w:pStyle w:val="TableParagraph"/>
              <w:spacing w:line="270" w:lineRule="exact"/>
              <w:jc w:val="both"/>
              <w:rPr>
                <w:sz w:val="24"/>
              </w:rPr>
            </w:pPr>
            <w:r>
              <w:rPr>
                <w:sz w:val="24"/>
              </w:rPr>
              <w:t>futures</w:t>
            </w:r>
            <w:r>
              <w:rPr>
                <w:spacing w:val="-1"/>
                <w:sz w:val="24"/>
              </w:rPr>
              <w:t xml:space="preserve"> </w:t>
            </w:r>
            <w:r>
              <w:rPr>
                <w:sz w:val="24"/>
              </w:rPr>
              <w:t>contracts</w:t>
            </w:r>
            <w:r>
              <w:rPr>
                <w:spacing w:val="-1"/>
                <w:sz w:val="24"/>
              </w:rPr>
              <w:t xml:space="preserve"> </w:t>
            </w:r>
            <w:proofErr w:type="gramStart"/>
            <w:r>
              <w:rPr>
                <w:sz w:val="24"/>
              </w:rPr>
              <w:t>combined</w:t>
            </w:r>
            <w:r>
              <w:rPr>
                <w:spacing w:val="-1"/>
                <w:sz w:val="24"/>
              </w:rPr>
              <w:t xml:space="preserve"> </w:t>
            </w:r>
            <w:r>
              <w:rPr>
                <w:spacing w:val="-2"/>
                <w:sz w:val="24"/>
              </w:rPr>
              <w:t>together</w:t>
            </w:r>
            <w:proofErr w:type="gramEnd"/>
            <w:r>
              <w:rPr>
                <w:spacing w:val="-2"/>
                <w:sz w:val="24"/>
              </w:rPr>
              <w:t>.</w:t>
            </w:r>
          </w:p>
          <w:p w14:paraId="1A73308B" w14:textId="77777777" w:rsidR="00517619" w:rsidRDefault="00517619" w:rsidP="00F731F9">
            <w:pPr>
              <w:pStyle w:val="TableParagraph"/>
              <w:spacing w:line="270" w:lineRule="atLeast"/>
              <w:ind w:right="92"/>
              <w:jc w:val="both"/>
              <w:rPr>
                <w:sz w:val="24"/>
              </w:rPr>
            </w:pPr>
            <w:r>
              <w:rPr>
                <w:sz w:val="24"/>
              </w:rPr>
              <w:t>For a member collectively for all clients: 10,000 lots</w:t>
            </w:r>
            <w:r>
              <w:rPr>
                <w:spacing w:val="40"/>
                <w:sz w:val="24"/>
              </w:rPr>
              <w:t xml:space="preserve"> </w:t>
            </w:r>
            <w:r>
              <w:rPr>
                <w:sz w:val="24"/>
              </w:rPr>
              <w:t xml:space="preserve">or 15% of market wide open position, whichever is higher for all MCX </w:t>
            </w:r>
            <w:proofErr w:type="spellStart"/>
            <w:r>
              <w:rPr>
                <w:sz w:val="24"/>
              </w:rPr>
              <w:t>iCOMDEX</w:t>
            </w:r>
            <w:proofErr w:type="spellEnd"/>
            <w:r>
              <w:rPr>
                <w:sz w:val="24"/>
              </w:rPr>
              <w:t xml:space="preserve"> Bullion index futures contracts </w:t>
            </w:r>
            <w:proofErr w:type="gramStart"/>
            <w:r>
              <w:rPr>
                <w:sz w:val="24"/>
              </w:rPr>
              <w:t>combined together</w:t>
            </w:r>
            <w:proofErr w:type="gramEnd"/>
            <w:r>
              <w:rPr>
                <w:sz w:val="24"/>
              </w:rPr>
              <w:t>.</w:t>
            </w:r>
          </w:p>
        </w:tc>
      </w:tr>
      <w:tr w:rsidR="00517619" w14:paraId="12A13258" w14:textId="77777777" w:rsidTr="00F731F9">
        <w:trPr>
          <w:trHeight w:val="8097"/>
        </w:trPr>
        <w:tc>
          <w:tcPr>
            <w:tcW w:w="2561" w:type="dxa"/>
          </w:tcPr>
          <w:p w14:paraId="1075CFAF" w14:textId="77777777" w:rsidR="00517619" w:rsidRDefault="00517619" w:rsidP="00F731F9">
            <w:pPr>
              <w:pStyle w:val="TableParagraph"/>
              <w:spacing w:line="275" w:lineRule="exact"/>
              <w:ind w:left="107"/>
              <w:rPr>
                <w:b/>
                <w:sz w:val="24"/>
              </w:rPr>
            </w:pPr>
            <w:r>
              <w:rPr>
                <w:b/>
                <w:sz w:val="24"/>
              </w:rPr>
              <w:lastRenderedPageBreak/>
              <w:t>Due</w:t>
            </w:r>
            <w:r>
              <w:rPr>
                <w:b/>
                <w:spacing w:val="-4"/>
                <w:sz w:val="24"/>
              </w:rPr>
              <w:t xml:space="preserve"> </w:t>
            </w:r>
            <w:r>
              <w:rPr>
                <w:b/>
                <w:sz w:val="24"/>
              </w:rPr>
              <w:t>Date</w:t>
            </w:r>
            <w:r>
              <w:rPr>
                <w:b/>
                <w:spacing w:val="-2"/>
                <w:sz w:val="24"/>
              </w:rPr>
              <w:t xml:space="preserve"> </w:t>
            </w:r>
            <w:r>
              <w:rPr>
                <w:b/>
                <w:spacing w:val="-4"/>
                <w:sz w:val="24"/>
              </w:rPr>
              <w:t>Rate</w:t>
            </w:r>
          </w:p>
        </w:tc>
        <w:tc>
          <w:tcPr>
            <w:tcW w:w="6800" w:type="dxa"/>
          </w:tcPr>
          <w:p w14:paraId="12AD1903" w14:textId="77777777" w:rsidR="00517619" w:rsidRDefault="00517619" w:rsidP="00F731F9">
            <w:pPr>
              <w:pStyle w:val="TableParagraph"/>
              <w:spacing w:line="240" w:lineRule="auto"/>
              <w:ind w:right="95"/>
              <w:jc w:val="both"/>
              <w:rPr>
                <w:sz w:val="24"/>
              </w:rPr>
            </w:pPr>
            <w:r>
              <w:rPr>
                <w:sz w:val="24"/>
              </w:rPr>
              <w:t>The Final Settlement Price will be the underlying Index price arrived at based on Volume Weightage Average Price of the constituents</w:t>
            </w:r>
            <w:r>
              <w:rPr>
                <w:spacing w:val="40"/>
                <w:sz w:val="24"/>
              </w:rPr>
              <w:t xml:space="preserve"> </w:t>
            </w:r>
            <w:r>
              <w:rPr>
                <w:sz w:val="24"/>
              </w:rPr>
              <w:t>of</w:t>
            </w:r>
            <w:r>
              <w:rPr>
                <w:spacing w:val="41"/>
                <w:sz w:val="24"/>
              </w:rPr>
              <w:t xml:space="preserve"> </w:t>
            </w:r>
            <w:r>
              <w:rPr>
                <w:sz w:val="24"/>
              </w:rPr>
              <w:t>the</w:t>
            </w:r>
            <w:r>
              <w:rPr>
                <w:spacing w:val="41"/>
                <w:sz w:val="24"/>
              </w:rPr>
              <w:t xml:space="preserve"> </w:t>
            </w:r>
            <w:r>
              <w:rPr>
                <w:sz w:val="24"/>
              </w:rPr>
              <w:t>underlying</w:t>
            </w:r>
            <w:r>
              <w:rPr>
                <w:spacing w:val="41"/>
                <w:sz w:val="24"/>
              </w:rPr>
              <w:t xml:space="preserve"> </w:t>
            </w:r>
            <w:r>
              <w:rPr>
                <w:sz w:val="24"/>
              </w:rPr>
              <w:t>Index</w:t>
            </w:r>
            <w:r>
              <w:rPr>
                <w:spacing w:val="44"/>
                <w:sz w:val="24"/>
              </w:rPr>
              <w:t xml:space="preserve"> </w:t>
            </w:r>
            <w:r>
              <w:rPr>
                <w:sz w:val="24"/>
              </w:rPr>
              <w:t>between</w:t>
            </w:r>
            <w:r>
              <w:rPr>
                <w:spacing w:val="41"/>
                <w:sz w:val="24"/>
              </w:rPr>
              <w:t xml:space="preserve"> </w:t>
            </w:r>
            <w:r>
              <w:rPr>
                <w:sz w:val="24"/>
              </w:rPr>
              <w:t>4:00</w:t>
            </w:r>
            <w:r>
              <w:rPr>
                <w:spacing w:val="41"/>
                <w:sz w:val="24"/>
              </w:rPr>
              <w:t xml:space="preserve"> </w:t>
            </w:r>
            <w:r>
              <w:rPr>
                <w:sz w:val="24"/>
              </w:rPr>
              <w:t>p.m.</w:t>
            </w:r>
            <w:r>
              <w:rPr>
                <w:spacing w:val="42"/>
                <w:sz w:val="24"/>
              </w:rPr>
              <w:t xml:space="preserve"> </w:t>
            </w:r>
            <w:r>
              <w:rPr>
                <w:sz w:val="24"/>
              </w:rPr>
              <w:t>and</w:t>
            </w:r>
            <w:r>
              <w:rPr>
                <w:spacing w:val="42"/>
                <w:sz w:val="24"/>
              </w:rPr>
              <w:t xml:space="preserve"> </w:t>
            </w:r>
            <w:r>
              <w:rPr>
                <w:spacing w:val="-4"/>
                <w:sz w:val="24"/>
              </w:rPr>
              <w:t>5:00</w:t>
            </w:r>
          </w:p>
          <w:p w14:paraId="15A5308E" w14:textId="77777777" w:rsidR="00517619" w:rsidRDefault="00517619" w:rsidP="00F731F9">
            <w:pPr>
              <w:pStyle w:val="TableParagraph"/>
              <w:spacing w:line="240" w:lineRule="auto"/>
              <w:jc w:val="both"/>
              <w:rPr>
                <w:sz w:val="24"/>
              </w:rPr>
            </w:pPr>
            <w:r>
              <w:rPr>
                <w:sz w:val="24"/>
              </w:rPr>
              <w:t>p.m.</w:t>
            </w:r>
            <w:r>
              <w:rPr>
                <w:spacing w:val="-2"/>
                <w:sz w:val="24"/>
              </w:rPr>
              <w:t xml:space="preserve"> </w:t>
            </w:r>
            <w:r>
              <w:rPr>
                <w:sz w:val="24"/>
              </w:rPr>
              <w:t>on the</w:t>
            </w:r>
            <w:r>
              <w:rPr>
                <w:spacing w:val="-1"/>
                <w:sz w:val="24"/>
              </w:rPr>
              <w:t xml:space="preserve"> </w:t>
            </w:r>
            <w:r>
              <w:rPr>
                <w:sz w:val="24"/>
              </w:rPr>
              <w:t>expiry</w:t>
            </w:r>
            <w:r>
              <w:rPr>
                <w:spacing w:val="-8"/>
                <w:sz w:val="24"/>
              </w:rPr>
              <w:t xml:space="preserve"> </w:t>
            </w:r>
            <w:r>
              <w:rPr>
                <w:sz w:val="24"/>
              </w:rPr>
              <w:t>day</w:t>
            </w:r>
            <w:r>
              <w:rPr>
                <w:spacing w:val="-5"/>
                <w:sz w:val="24"/>
              </w:rPr>
              <w:t xml:space="preserve"> </w:t>
            </w:r>
            <w:r>
              <w:rPr>
                <w:sz w:val="24"/>
              </w:rPr>
              <w:t>of</w:t>
            </w:r>
            <w:r>
              <w:rPr>
                <w:spacing w:val="1"/>
                <w:sz w:val="24"/>
              </w:rPr>
              <w:t xml:space="preserve"> </w:t>
            </w:r>
            <w:r>
              <w:rPr>
                <w:sz w:val="24"/>
              </w:rPr>
              <w:t>the</w:t>
            </w:r>
            <w:r>
              <w:rPr>
                <w:spacing w:val="1"/>
                <w:sz w:val="24"/>
              </w:rPr>
              <w:t xml:space="preserve"> </w:t>
            </w:r>
            <w:r>
              <w:rPr>
                <w:sz w:val="24"/>
              </w:rPr>
              <w:t>Index</w:t>
            </w:r>
            <w:r>
              <w:rPr>
                <w:spacing w:val="2"/>
                <w:sz w:val="24"/>
              </w:rPr>
              <w:t xml:space="preserve"> </w:t>
            </w:r>
            <w:r>
              <w:rPr>
                <w:sz w:val="24"/>
              </w:rPr>
              <w:t xml:space="preserve">futures </w:t>
            </w:r>
            <w:r>
              <w:rPr>
                <w:spacing w:val="-2"/>
                <w:sz w:val="24"/>
              </w:rPr>
              <w:t>contract.</w:t>
            </w:r>
          </w:p>
          <w:p w14:paraId="7D446E5B" w14:textId="77777777" w:rsidR="00517619" w:rsidRDefault="00517619" w:rsidP="00F731F9">
            <w:pPr>
              <w:pStyle w:val="TableParagraph"/>
              <w:spacing w:before="179" w:line="240" w:lineRule="auto"/>
              <w:ind w:right="90"/>
              <w:jc w:val="both"/>
              <w:rPr>
                <w:sz w:val="24"/>
              </w:rPr>
            </w:pPr>
            <w:r>
              <w:rPr>
                <w:sz w:val="24"/>
              </w:rPr>
              <w:t xml:space="preserve">In absence of trading in any of the constituent of the underlying Index between 4:00 p.m. and 5:00 p.m. on the expiry day of the Index futures contract, the below methodology will be followed to obtain the appropriate price of </w:t>
            </w:r>
            <w:r>
              <w:rPr>
                <w:i/>
                <w:sz w:val="24"/>
                <w:u w:val="single"/>
              </w:rPr>
              <w:t>only</w:t>
            </w:r>
            <w:r>
              <w:rPr>
                <w:i/>
                <w:sz w:val="24"/>
              </w:rPr>
              <w:t xml:space="preserve"> </w:t>
            </w:r>
            <w:r>
              <w:rPr>
                <w:sz w:val="24"/>
              </w:rPr>
              <w:t>such constituent to arrive at the underlying Index price:</w:t>
            </w:r>
          </w:p>
          <w:p w14:paraId="454A90CB" w14:textId="77777777" w:rsidR="00517619" w:rsidRDefault="00517619" w:rsidP="00517619">
            <w:pPr>
              <w:pStyle w:val="TableParagraph"/>
              <w:numPr>
                <w:ilvl w:val="0"/>
                <w:numId w:val="3"/>
              </w:numPr>
              <w:tabs>
                <w:tab w:val="left" w:pos="456"/>
                <w:tab w:val="left" w:pos="458"/>
              </w:tabs>
              <w:spacing w:line="240" w:lineRule="auto"/>
              <w:ind w:right="93"/>
              <w:jc w:val="both"/>
              <w:rPr>
                <w:sz w:val="24"/>
              </w:rPr>
            </w:pPr>
            <w:r>
              <w:rPr>
                <w:sz w:val="24"/>
              </w:rPr>
              <w:t>If there are no trades in the constituent during 4:00 p.m. and</w:t>
            </w:r>
            <w:r>
              <w:rPr>
                <w:spacing w:val="40"/>
                <w:sz w:val="24"/>
              </w:rPr>
              <w:t xml:space="preserve"> </w:t>
            </w:r>
            <w:r>
              <w:rPr>
                <w:sz w:val="24"/>
              </w:rPr>
              <w:t>5:00 p.m. on the expiry</w:t>
            </w:r>
            <w:r>
              <w:rPr>
                <w:spacing w:val="-4"/>
                <w:sz w:val="24"/>
              </w:rPr>
              <w:t xml:space="preserve"> </w:t>
            </w:r>
            <w:r>
              <w:rPr>
                <w:sz w:val="24"/>
              </w:rPr>
              <w:t>day</w:t>
            </w:r>
            <w:r>
              <w:rPr>
                <w:spacing w:val="-1"/>
                <w:sz w:val="24"/>
              </w:rPr>
              <w:t xml:space="preserve"> </w:t>
            </w:r>
            <w:r>
              <w:rPr>
                <w:sz w:val="24"/>
              </w:rPr>
              <w:t>of the Index futures contract, then it will be based on the weighted average price of the last 10 trades executed during the day.</w:t>
            </w:r>
          </w:p>
          <w:p w14:paraId="58A19FC6" w14:textId="77777777" w:rsidR="00517619" w:rsidRDefault="00517619" w:rsidP="00517619">
            <w:pPr>
              <w:pStyle w:val="TableParagraph"/>
              <w:numPr>
                <w:ilvl w:val="0"/>
                <w:numId w:val="3"/>
              </w:numPr>
              <w:tabs>
                <w:tab w:val="left" w:pos="456"/>
                <w:tab w:val="left" w:pos="458"/>
              </w:tabs>
              <w:spacing w:line="240" w:lineRule="auto"/>
              <w:ind w:right="91" w:hanging="336"/>
              <w:jc w:val="both"/>
              <w:rPr>
                <w:sz w:val="24"/>
              </w:rPr>
            </w:pPr>
            <w:r>
              <w:rPr>
                <w:sz w:val="24"/>
              </w:rPr>
              <w:t>If the number of trades done during the day are less than 10,</w:t>
            </w:r>
            <w:r>
              <w:rPr>
                <w:spacing w:val="40"/>
                <w:sz w:val="24"/>
              </w:rPr>
              <w:t xml:space="preserve"> </w:t>
            </w:r>
            <w:r>
              <w:rPr>
                <w:sz w:val="24"/>
              </w:rPr>
              <w:t>then</w:t>
            </w:r>
            <w:r>
              <w:rPr>
                <w:spacing w:val="-3"/>
                <w:sz w:val="24"/>
              </w:rPr>
              <w:t xml:space="preserve"> </w:t>
            </w:r>
            <w:r>
              <w:rPr>
                <w:sz w:val="24"/>
              </w:rPr>
              <w:t>it</w:t>
            </w:r>
            <w:r>
              <w:rPr>
                <w:spacing w:val="-3"/>
                <w:sz w:val="24"/>
              </w:rPr>
              <w:t xml:space="preserve"> </w:t>
            </w:r>
            <w:r>
              <w:rPr>
                <w:sz w:val="24"/>
              </w:rPr>
              <w:t>is</w:t>
            </w:r>
            <w:r>
              <w:rPr>
                <w:spacing w:val="-3"/>
                <w:sz w:val="24"/>
              </w:rPr>
              <w:t xml:space="preserve"> </w:t>
            </w:r>
            <w:r>
              <w:rPr>
                <w:sz w:val="24"/>
              </w:rPr>
              <w:t>taken</w:t>
            </w:r>
            <w:r>
              <w:rPr>
                <w:spacing w:val="-2"/>
                <w:sz w:val="24"/>
              </w:rPr>
              <w:t xml:space="preserve"> </w:t>
            </w:r>
            <w:r>
              <w:rPr>
                <w:sz w:val="24"/>
              </w:rPr>
              <w:t>as</w:t>
            </w:r>
            <w:r>
              <w:rPr>
                <w:spacing w:val="-3"/>
                <w:sz w:val="24"/>
              </w:rPr>
              <w:t xml:space="preserve"> </w:t>
            </w:r>
            <w:r>
              <w:rPr>
                <w:sz w:val="24"/>
              </w:rPr>
              <w:t>the</w:t>
            </w:r>
            <w:r>
              <w:rPr>
                <w:spacing w:val="-3"/>
                <w:sz w:val="24"/>
              </w:rPr>
              <w:t xml:space="preserve"> </w:t>
            </w:r>
            <w:r>
              <w:rPr>
                <w:sz w:val="24"/>
              </w:rPr>
              <w:t>weighted</w:t>
            </w:r>
            <w:r>
              <w:rPr>
                <w:spacing w:val="-3"/>
                <w:sz w:val="24"/>
              </w:rPr>
              <w:t xml:space="preserve"> </w:t>
            </w:r>
            <w:r>
              <w:rPr>
                <w:sz w:val="24"/>
              </w:rPr>
              <w:t>average</w:t>
            </w:r>
            <w:r>
              <w:rPr>
                <w:spacing w:val="-3"/>
                <w:sz w:val="24"/>
              </w:rPr>
              <w:t xml:space="preserve"> </w:t>
            </w:r>
            <w:r>
              <w:rPr>
                <w:sz w:val="24"/>
              </w:rPr>
              <w:t>of</w:t>
            </w:r>
            <w:r>
              <w:rPr>
                <w:spacing w:val="-3"/>
                <w:sz w:val="24"/>
              </w:rPr>
              <w:t xml:space="preserve"> </w:t>
            </w:r>
            <w:r>
              <w:rPr>
                <w:sz w:val="24"/>
              </w:rPr>
              <w:t>all</w:t>
            </w:r>
            <w:r>
              <w:rPr>
                <w:spacing w:val="-3"/>
                <w:sz w:val="24"/>
              </w:rPr>
              <w:t xml:space="preserve"> </w:t>
            </w:r>
            <w:r>
              <w:rPr>
                <w:sz w:val="24"/>
              </w:rPr>
              <w:t>the</w:t>
            </w:r>
            <w:r>
              <w:rPr>
                <w:spacing w:val="-3"/>
                <w:sz w:val="24"/>
              </w:rPr>
              <w:t xml:space="preserve"> </w:t>
            </w:r>
            <w:r>
              <w:rPr>
                <w:sz w:val="24"/>
              </w:rPr>
              <w:t>trades</w:t>
            </w:r>
            <w:r>
              <w:rPr>
                <w:spacing w:val="-2"/>
                <w:sz w:val="24"/>
              </w:rPr>
              <w:t xml:space="preserve"> </w:t>
            </w:r>
            <w:r>
              <w:rPr>
                <w:sz w:val="24"/>
              </w:rPr>
              <w:t>executed during the day.</w:t>
            </w:r>
          </w:p>
          <w:p w14:paraId="4B7B5B93" w14:textId="77777777" w:rsidR="00517619" w:rsidRDefault="00517619" w:rsidP="00517619">
            <w:pPr>
              <w:pStyle w:val="TableParagraph"/>
              <w:numPr>
                <w:ilvl w:val="0"/>
                <w:numId w:val="3"/>
              </w:numPr>
              <w:tabs>
                <w:tab w:val="left" w:pos="455"/>
                <w:tab w:val="left" w:pos="458"/>
              </w:tabs>
              <w:spacing w:before="1" w:line="240" w:lineRule="auto"/>
              <w:ind w:right="97" w:hanging="404"/>
              <w:jc w:val="both"/>
              <w:rPr>
                <w:sz w:val="24"/>
              </w:rPr>
            </w:pPr>
            <w:r>
              <w:rPr>
                <w:sz w:val="24"/>
              </w:rPr>
              <w:t>If no trades have been executed in a contract on a day, then the official Closing Price of the previous day will be considered.</w:t>
            </w:r>
          </w:p>
          <w:p w14:paraId="5674FEC7" w14:textId="77777777" w:rsidR="00517619" w:rsidRDefault="00517619" w:rsidP="00F731F9">
            <w:pPr>
              <w:pStyle w:val="TableParagraph"/>
              <w:spacing w:before="184" w:line="240" w:lineRule="auto"/>
              <w:ind w:right="95"/>
              <w:jc w:val="both"/>
              <w:rPr>
                <w:sz w:val="24"/>
              </w:rPr>
            </w:pPr>
            <w:r>
              <w:rPr>
                <w:sz w:val="24"/>
              </w:rPr>
              <w:t>On the day of expiry, the trading in expiring contract shall be allowed up to 5:00 p.m.</w:t>
            </w:r>
          </w:p>
          <w:p w14:paraId="615EF31B" w14:textId="77777777" w:rsidR="00517619" w:rsidRDefault="00517619" w:rsidP="00F731F9">
            <w:pPr>
              <w:pStyle w:val="TableParagraph"/>
              <w:spacing w:before="262" w:line="270" w:lineRule="atLeast"/>
              <w:ind w:right="91"/>
              <w:jc w:val="both"/>
              <w:rPr>
                <w:sz w:val="24"/>
              </w:rPr>
            </w:pPr>
            <w:r>
              <w:rPr>
                <w:sz w:val="24"/>
              </w:rPr>
              <w:t>The index value so arrived will be rounded off to the nearest tick. For example, on the day of expiry, if index value arrived based on VWAP of the constituents of the underlying Index during the above said period is 11,800.15, then DDR for the contract would be</w:t>
            </w:r>
            <w:r>
              <w:rPr>
                <w:spacing w:val="40"/>
                <w:sz w:val="24"/>
              </w:rPr>
              <w:t xml:space="preserve"> </w:t>
            </w:r>
            <w:r>
              <w:rPr>
                <w:sz w:val="24"/>
              </w:rPr>
              <w:t>11,800 (rounded off to the nearest tick) and if index value is 11,800.50, then DDR for the contract would be considered as</w:t>
            </w:r>
            <w:r>
              <w:rPr>
                <w:spacing w:val="40"/>
                <w:sz w:val="24"/>
              </w:rPr>
              <w:t xml:space="preserve"> </w:t>
            </w:r>
            <w:r>
              <w:rPr>
                <w:sz w:val="24"/>
              </w:rPr>
              <w:t>11,801 for settlement purpose.</w:t>
            </w:r>
          </w:p>
        </w:tc>
      </w:tr>
      <w:tr w:rsidR="00517619" w14:paraId="2DAE9A41" w14:textId="77777777" w:rsidTr="00F731F9">
        <w:trPr>
          <w:trHeight w:val="345"/>
        </w:trPr>
        <w:tc>
          <w:tcPr>
            <w:tcW w:w="2561" w:type="dxa"/>
          </w:tcPr>
          <w:p w14:paraId="4D152426" w14:textId="77777777" w:rsidR="00517619" w:rsidRDefault="00517619" w:rsidP="00F731F9">
            <w:pPr>
              <w:pStyle w:val="TableParagraph"/>
              <w:spacing w:line="275" w:lineRule="exact"/>
              <w:ind w:left="107"/>
              <w:rPr>
                <w:b/>
                <w:sz w:val="24"/>
              </w:rPr>
            </w:pPr>
            <w:r>
              <w:rPr>
                <w:b/>
                <w:sz w:val="24"/>
              </w:rPr>
              <w:t>Settlement</w:t>
            </w:r>
            <w:r>
              <w:rPr>
                <w:b/>
                <w:spacing w:val="-6"/>
                <w:sz w:val="24"/>
              </w:rPr>
              <w:t xml:space="preserve"> </w:t>
            </w:r>
            <w:r>
              <w:rPr>
                <w:b/>
                <w:spacing w:val="-2"/>
                <w:sz w:val="24"/>
              </w:rPr>
              <w:t>Mechanism</w:t>
            </w:r>
          </w:p>
        </w:tc>
        <w:tc>
          <w:tcPr>
            <w:tcW w:w="6800" w:type="dxa"/>
          </w:tcPr>
          <w:p w14:paraId="3F1898E7" w14:textId="77777777" w:rsidR="00517619" w:rsidRDefault="00517619" w:rsidP="00F731F9">
            <w:pPr>
              <w:pStyle w:val="TableParagraph"/>
              <w:spacing w:line="270" w:lineRule="exact"/>
              <w:rPr>
                <w:sz w:val="24"/>
              </w:rPr>
            </w:pPr>
            <w:r>
              <w:rPr>
                <w:sz w:val="24"/>
              </w:rPr>
              <w:t>The</w:t>
            </w:r>
            <w:r>
              <w:rPr>
                <w:spacing w:val="-3"/>
                <w:sz w:val="24"/>
              </w:rPr>
              <w:t xml:space="preserve"> </w:t>
            </w:r>
            <w:r>
              <w:rPr>
                <w:sz w:val="24"/>
              </w:rPr>
              <w:t>contract would be</w:t>
            </w:r>
            <w:r>
              <w:rPr>
                <w:spacing w:val="-1"/>
                <w:sz w:val="24"/>
              </w:rPr>
              <w:t xml:space="preserve"> </w:t>
            </w:r>
            <w:r>
              <w:rPr>
                <w:sz w:val="24"/>
              </w:rPr>
              <w:t xml:space="preserve">settled in </w:t>
            </w:r>
            <w:r>
              <w:rPr>
                <w:spacing w:val="-4"/>
                <w:sz w:val="24"/>
              </w:rPr>
              <w:t>cash</w:t>
            </w:r>
          </w:p>
        </w:tc>
      </w:tr>
    </w:tbl>
    <w:p w14:paraId="1E607C44" w14:textId="77777777" w:rsidR="00517619" w:rsidRDefault="00517619" w:rsidP="00517619">
      <w:pPr>
        <w:pStyle w:val="BodyText"/>
        <w:spacing w:before="199"/>
        <w:ind w:left="112"/>
      </w:pPr>
      <w:r>
        <w:t>*</w:t>
      </w:r>
      <w:r>
        <w:rPr>
          <w:spacing w:val="-2"/>
        </w:rPr>
        <w:t xml:space="preserve"> </w:t>
      </w:r>
      <w:r>
        <w:t>The</w:t>
      </w:r>
      <w:r>
        <w:rPr>
          <w:spacing w:val="-4"/>
        </w:rPr>
        <w:t xml:space="preserve"> </w:t>
      </w:r>
      <w:r>
        <w:t>Margin</w:t>
      </w:r>
      <w:r>
        <w:rPr>
          <w:spacing w:val="-2"/>
        </w:rPr>
        <w:t xml:space="preserve"> </w:t>
      </w:r>
      <w:r>
        <w:t>Period</w:t>
      </w:r>
      <w:r>
        <w:rPr>
          <w:spacing w:val="-2"/>
        </w:rPr>
        <w:t xml:space="preserve"> </w:t>
      </w:r>
      <w:r>
        <w:t>of</w:t>
      </w:r>
      <w:r>
        <w:rPr>
          <w:spacing w:val="-1"/>
        </w:rPr>
        <w:t xml:space="preserve"> </w:t>
      </w:r>
      <w:r>
        <w:t>Risk</w:t>
      </w:r>
      <w:r>
        <w:rPr>
          <w:spacing w:val="-2"/>
        </w:rPr>
        <w:t xml:space="preserve"> </w:t>
      </w:r>
      <w:r>
        <w:t>(MPOR)</w:t>
      </w:r>
      <w:r>
        <w:rPr>
          <w:spacing w:val="-2"/>
        </w:rPr>
        <w:t xml:space="preserve"> </w:t>
      </w:r>
      <w:r>
        <w:t>shall</w:t>
      </w:r>
      <w:r>
        <w:rPr>
          <w:spacing w:val="-2"/>
        </w:rPr>
        <w:t xml:space="preserve"> </w:t>
      </w:r>
      <w:r>
        <w:t>be</w:t>
      </w:r>
      <w:r>
        <w:rPr>
          <w:spacing w:val="-3"/>
        </w:rPr>
        <w:t xml:space="preserve"> </w:t>
      </w:r>
      <w:r>
        <w:t>3 days and</w:t>
      </w:r>
      <w:r>
        <w:rPr>
          <w:spacing w:val="-2"/>
        </w:rPr>
        <w:t xml:space="preserve"> </w:t>
      </w:r>
      <w:r>
        <w:t>the</w:t>
      </w:r>
      <w:r>
        <w:rPr>
          <w:spacing w:val="-1"/>
        </w:rPr>
        <w:t xml:space="preserve"> </w:t>
      </w:r>
      <w:r>
        <w:t>computation</w:t>
      </w:r>
      <w:r>
        <w:rPr>
          <w:spacing w:val="-2"/>
        </w:rPr>
        <w:t xml:space="preserve"> </w:t>
      </w:r>
      <w:r>
        <w:t>of</w:t>
      </w:r>
      <w:r>
        <w:rPr>
          <w:spacing w:val="-1"/>
        </w:rPr>
        <w:t xml:space="preserve"> </w:t>
      </w:r>
      <w:r>
        <w:t>Initial</w:t>
      </w:r>
      <w:r>
        <w:rPr>
          <w:spacing w:val="-2"/>
        </w:rPr>
        <w:t xml:space="preserve"> </w:t>
      </w:r>
      <w:r>
        <w:t>Margin</w:t>
      </w:r>
      <w:r>
        <w:rPr>
          <w:spacing w:val="-2"/>
        </w:rPr>
        <w:t xml:space="preserve"> </w:t>
      </w:r>
      <w:r>
        <w:t xml:space="preserve">shall be based on </w:t>
      </w:r>
      <w:proofErr w:type="spellStart"/>
      <w:r>
        <w:t>VaR</w:t>
      </w:r>
      <w:proofErr w:type="spellEnd"/>
      <w:r>
        <w:t xml:space="preserve"> over three-day horizon (i.e. MPOR = 3 days).</w:t>
      </w:r>
    </w:p>
    <w:p w14:paraId="768C0F92" w14:textId="77777777" w:rsidR="00517619" w:rsidRDefault="00517619" w:rsidP="00517619">
      <w:pPr>
        <w:sectPr w:rsidR="00517619" w:rsidSect="00517619">
          <w:type w:val="continuous"/>
          <w:pgSz w:w="11910" w:h="16840"/>
          <w:pgMar w:top="1400" w:right="1040" w:bottom="280" w:left="1020" w:header="720" w:footer="720" w:gutter="0"/>
          <w:cols w:space="720"/>
        </w:sectPr>
      </w:pPr>
    </w:p>
    <w:p w14:paraId="763E5031" w14:textId="77777777" w:rsidR="00517619" w:rsidRDefault="00517619" w:rsidP="00517619">
      <w:pPr>
        <w:spacing w:before="77"/>
        <w:ind w:left="17"/>
        <w:jc w:val="center"/>
        <w:rPr>
          <w:b/>
          <w:sz w:val="24"/>
        </w:rPr>
      </w:pPr>
      <w:r>
        <w:rPr>
          <w:b/>
          <w:sz w:val="24"/>
        </w:rPr>
        <w:lastRenderedPageBreak/>
        <w:t>Contract</w:t>
      </w:r>
      <w:r>
        <w:rPr>
          <w:b/>
          <w:spacing w:val="-3"/>
          <w:sz w:val="24"/>
        </w:rPr>
        <w:t xml:space="preserve"> </w:t>
      </w:r>
      <w:r>
        <w:rPr>
          <w:b/>
          <w:sz w:val="24"/>
        </w:rPr>
        <w:t>Launch Calendar</w:t>
      </w:r>
      <w:r>
        <w:rPr>
          <w:b/>
          <w:spacing w:val="-2"/>
          <w:sz w:val="24"/>
        </w:rPr>
        <w:t xml:space="preserve"> </w:t>
      </w:r>
      <w:r>
        <w:rPr>
          <w:b/>
          <w:sz w:val="24"/>
        </w:rPr>
        <w:t>for</w:t>
      </w:r>
      <w:r>
        <w:rPr>
          <w:b/>
          <w:spacing w:val="-1"/>
          <w:sz w:val="24"/>
        </w:rPr>
        <w:t xml:space="preserve"> </w:t>
      </w:r>
      <w:r>
        <w:rPr>
          <w:b/>
          <w:sz w:val="24"/>
        </w:rPr>
        <w:t>MCX</w:t>
      </w:r>
      <w:r>
        <w:rPr>
          <w:b/>
          <w:spacing w:val="-1"/>
          <w:sz w:val="24"/>
        </w:rPr>
        <w:t xml:space="preserve"> </w:t>
      </w:r>
      <w:proofErr w:type="spellStart"/>
      <w:r>
        <w:rPr>
          <w:b/>
          <w:sz w:val="24"/>
        </w:rPr>
        <w:t>iCOMDEX</w:t>
      </w:r>
      <w:proofErr w:type="spellEnd"/>
      <w:r>
        <w:rPr>
          <w:b/>
          <w:spacing w:val="-1"/>
          <w:sz w:val="24"/>
        </w:rPr>
        <w:t xml:space="preserve"> </w:t>
      </w:r>
      <w:r>
        <w:rPr>
          <w:b/>
          <w:sz w:val="24"/>
        </w:rPr>
        <w:t>Bullion</w:t>
      </w:r>
      <w:r>
        <w:rPr>
          <w:b/>
          <w:spacing w:val="-2"/>
          <w:sz w:val="24"/>
        </w:rPr>
        <w:t xml:space="preserve"> </w:t>
      </w:r>
      <w:r>
        <w:rPr>
          <w:b/>
          <w:sz w:val="24"/>
        </w:rPr>
        <w:t xml:space="preserve">Index </w:t>
      </w:r>
      <w:r>
        <w:rPr>
          <w:b/>
          <w:spacing w:val="-2"/>
          <w:sz w:val="24"/>
        </w:rPr>
        <w:t>Futures</w:t>
      </w:r>
    </w:p>
    <w:p w14:paraId="4F976741" w14:textId="77777777" w:rsidR="00517619" w:rsidRDefault="00517619" w:rsidP="00517619">
      <w:pPr>
        <w:pStyle w:val="BodyText"/>
        <w:spacing w:before="1" w:after="1"/>
        <w:rPr>
          <w:b/>
          <w:sz w:val="16"/>
        </w:rPr>
      </w:pPr>
    </w:p>
    <w:tbl>
      <w:tblPr>
        <w:tblW w:w="0" w:type="auto"/>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80"/>
        <w:gridCol w:w="2777"/>
        <w:gridCol w:w="2676"/>
      </w:tblGrid>
      <w:tr w:rsidR="00517619" w14:paraId="5F6C8507" w14:textId="77777777" w:rsidTr="00F731F9">
        <w:trPr>
          <w:trHeight w:val="275"/>
        </w:trPr>
        <w:tc>
          <w:tcPr>
            <w:tcW w:w="2780" w:type="dxa"/>
          </w:tcPr>
          <w:p w14:paraId="7E610166" w14:textId="77777777" w:rsidR="00517619" w:rsidRDefault="00517619" w:rsidP="00F731F9">
            <w:pPr>
              <w:pStyle w:val="TableParagraph"/>
              <w:ind w:left="15" w:right="5"/>
              <w:jc w:val="center"/>
              <w:rPr>
                <w:b/>
                <w:sz w:val="24"/>
              </w:rPr>
            </w:pPr>
            <w:r>
              <w:rPr>
                <w:b/>
                <w:sz w:val="24"/>
              </w:rPr>
              <w:t>Contract</w:t>
            </w:r>
            <w:r>
              <w:rPr>
                <w:b/>
                <w:spacing w:val="-2"/>
                <w:sz w:val="24"/>
              </w:rPr>
              <w:t xml:space="preserve"> </w:t>
            </w:r>
            <w:r>
              <w:rPr>
                <w:b/>
                <w:spacing w:val="-4"/>
                <w:sz w:val="24"/>
              </w:rPr>
              <w:t>Month</w:t>
            </w:r>
          </w:p>
        </w:tc>
        <w:tc>
          <w:tcPr>
            <w:tcW w:w="2777" w:type="dxa"/>
          </w:tcPr>
          <w:p w14:paraId="6A7FAF9F" w14:textId="77777777" w:rsidR="00517619" w:rsidRDefault="00517619" w:rsidP="00F731F9">
            <w:pPr>
              <w:pStyle w:val="TableParagraph"/>
              <w:ind w:left="13" w:right="7"/>
              <w:jc w:val="center"/>
              <w:rPr>
                <w:b/>
                <w:sz w:val="24"/>
              </w:rPr>
            </w:pPr>
            <w:r>
              <w:rPr>
                <w:b/>
                <w:sz w:val="24"/>
              </w:rPr>
              <w:t>Contract</w:t>
            </w:r>
            <w:r>
              <w:rPr>
                <w:b/>
                <w:spacing w:val="-4"/>
                <w:sz w:val="24"/>
              </w:rPr>
              <w:t xml:space="preserve"> </w:t>
            </w:r>
            <w:r>
              <w:rPr>
                <w:b/>
                <w:sz w:val="24"/>
              </w:rPr>
              <w:t>Launch</w:t>
            </w:r>
            <w:r>
              <w:rPr>
                <w:b/>
                <w:spacing w:val="-2"/>
                <w:sz w:val="24"/>
              </w:rPr>
              <w:t xml:space="preserve"> </w:t>
            </w:r>
            <w:r>
              <w:rPr>
                <w:b/>
                <w:spacing w:val="-4"/>
                <w:sz w:val="24"/>
              </w:rPr>
              <w:t>Month</w:t>
            </w:r>
          </w:p>
        </w:tc>
        <w:tc>
          <w:tcPr>
            <w:tcW w:w="2676" w:type="dxa"/>
          </w:tcPr>
          <w:p w14:paraId="3F81537C" w14:textId="77777777" w:rsidR="00517619" w:rsidRDefault="00517619" w:rsidP="00F731F9">
            <w:pPr>
              <w:pStyle w:val="TableParagraph"/>
              <w:ind w:left="14" w:right="8"/>
              <w:jc w:val="center"/>
              <w:rPr>
                <w:b/>
                <w:sz w:val="24"/>
              </w:rPr>
            </w:pPr>
            <w:r>
              <w:rPr>
                <w:b/>
                <w:sz w:val="24"/>
              </w:rPr>
              <w:t>Contract</w:t>
            </w:r>
            <w:r>
              <w:rPr>
                <w:b/>
                <w:spacing w:val="-4"/>
                <w:sz w:val="24"/>
              </w:rPr>
              <w:t xml:space="preserve"> </w:t>
            </w:r>
            <w:r>
              <w:rPr>
                <w:b/>
                <w:sz w:val="24"/>
              </w:rPr>
              <w:t>Expiry</w:t>
            </w:r>
            <w:r>
              <w:rPr>
                <w:b/>
                <w:spacing w:val="-1"/>
                <w:sz w:val="24"/>
              </w:rPr>
              <w:t xml:space="preserve"> </w:t>
            </w:r>
            <w:r>
              <w:rPr>
                <w:b/>
                <w:spacing w:val="-2"/>
                <w:sz w:val="24"/>
              </w:rPr>
              <w:t>Month</w:t>
            </w:r>
          </w:p>
        </w:tc>
      </w:tr>
      <w:tr w:rsidR="00517619" w14:paraId="5ACBB7FF" w14:textId="77777777" w:rsidTr="00F731F9">
        <w:trPr>
          <w:trHeight w:val="275"/>
        </w:trPr>
        <w:tc>
          <w:tcPr>
            <w:tcW w:w="2780" w:type="dxa"/>
          </w:tcPr>
          <w:p w14:paraId="6138343C" w14:textId="77777777" w:rsidR="00517619" w:rsidRDefault="00517619" w:rsidP="00F731F9">
            <w:pPr>
              <w:pStyle w:val="TableParagraph"/>
              <w:ind w:left="15" w:right="5"/>
              <w:jc w:val="center"/>
              <w:rPr>
                <w:sz w:val="24"/>
              </w:rPr>
            </w:pPr>
            <w:r>
              <w:rPr>
                <w:sz w:val="24"/>
              </w:rPr>
              <w:t>August</w:t>
            </w:r>
            <w:r>
              <w:rPr>
                <w:spacing w:val="-3"/>
                <w:sz w:val="24"/>
              </w:rPr>
              <w:t xml:space="preserve"> </w:t>
            </w:r>
            <w:r>
              <w:rPr>
                <w:spacing w:val="-4"/>
                <w:sz w:val="24"/>
              </w:rPr>
              <w:t>2021</w:t>
            </w:r>
          </w:p>
        </w:tc>
        <w:tc>
          <w:tcPr>
            <w:tcW w:w="2777" w:type="dxa"/>
          </w:tcPr>
          <w:p w14:paraId="4438C1B5" w14:textId="77777777" w:rsidR="00517619" w:rsidRDefault="00517619" w:rsidP="00F731F9">
            <w:pPr>
              <w:pStyle w:val="TableParagraph"/>
              <w:ind w:left="13" w:right="5"/>
              <w:jc w:val="center"/>
              <w:rPr>
                <w:sz w:val="24"/>
              </w:rPr>
            </w:pPr>
            <w:r>
              <w:rPr>
                <w:sz w:val="24"/>
              </w:rPr>
              <w:t>May</w:t>
            </w:r>
            <w:r>
              <w:rPr>
                <w:spacing w:val="-4"/>
                <w:sz w:val="24"/>
              </w:rPr>
              <w:t xml:space="preserve"> 2021</w:t>
            </w:r>
          </w:p>
        </w:tc>
        <w:tc>
          <w:tcPr>
            <w:tcW w:w="2676" w:type="dxa"/>
          </w:tcPr>
          <w:p w14:paraId="506C0369" w14:textId="77777777" w:rsidR="00517619" w:rsidRDefault="00517619" w:rsidP="00F731F9">
            <w:pPr>
              <w:pStyle w:val="TableParagraph"/>
              <w:ind w:left="14" w:right="5"/>
              <w:jc w:val="center"/>
              <w:rPr>
                <w:sz w:val="24"/>
              </w:rPr>
            </w:pPr>
            <w:r>
              <w:rPr>
                <w:sz w:val="24"/>
              </w:rPr>
              <w:t>August</w:t>
            </w:r>
            <w:r>
              <w:rPr>
                <w:spacing w:val="-3"/>
                <w:sz w:val="24"/>
              </w:rPr>
              <w:t xml:space="preserve"> </w:t>
            </w:r>
            <w:r>
              <w:rPr>
                <w:spacing w:val="-4"/>
                <w:sz w:val="24"/>
              </w:rPr>
              <w:t>2021</w:t>
            </w:r>
          </w:p>
        </w:tc>
      </w:tr>
      <w:tr w:rsidR="00517619" w14:paraId="3F1197AD" w14:textId="77777777" w:rsidTr="00F731F9">
        <w:trPr>
          <w:trHeight w:val="275"/>
        </w:trPr>
        <w:tc>
          <w:tcPr>
            <w:tcW w:w="2780" w:type="dxa"/>
          </w:tcPr>
          <w:p w14:paraId="545E9E35" w14:textId="77777777" w:rsidR="00517619" w:rsidRDefault="00517619" w:rsidP="00F731F9">
            <w:pPr>
              <w:pStyle w:val="TableParagraph"/>
              <w:ind w:left="15" w:right="7"/>
              <w:jc w:val="center"/>
              <w:rPr>
                <w:sz w:val="24"/>
              </w:rPr>
            </w:pPr>
            <w:r>
              <w:rPr>
                <w:sz w:val="24"/>
              </w:rPr>
              <w:t>September</w:t>
            </w:r>
            <w:r>
              <w:rPr>
                <w:spacing w:val="-2"/>
                <w:sz w:val="24"/>
              </w:rPr>
              <w:t xml:space="preserve"> </w:t>
            </w:r>
            <w:r>
              <w:rPr>
                <w:spacing w:val="-4"/>
                <w:sz w:val="24"/>
              </w:rPr>
              <w:t>2021</w:t>
            </w:r>
          </w:p>
        </w:tc>
        <w:tc>
          <w:tcPr>
            <w:tcW w:w="2777" w:type="dxa"/>
          </w:tcPr>
          <w:p w14:paraId="4CE838A9" w14:textId="77777777" w:rsidR="00517619" w:rsidRDefault="00517619" w:rsidP="00F731F9">
            <w:pPr>
              <w:pStyle w:val="TableParagraph"/>
              <w:ind w:left="13"/>
              <w:jc w:val="center"/>
              <w:rPr>
                <w:sz w:val="24"/>
              </w:rPr>
            </w:pPr>
            <w:r>
              <w:rPr>
                <w:sz w:val="24"/>
              </w:rPr>
              <w:t>June</w:t>
            </w:r>
            <w:r>
              <w:rPr>
                <w:spacing w:val="1"/>
                <w:sz w:val="24"/>
              </w:rPr>
              <w:t xml:space="preserve"> </w:t>
            </w:r>
            <w:r>
              <w:rPr>
                <w:spacing w:val="-4"/>
                <w:sz w:val="24"/>
              </w:rPr>
              <w:t>2021</w:t>
            </w:r>
          </w:p>
        </w:tc>
        <w:tc>
          <w:tcPr>
            <w:tcW w:w="2676" w:type="dxa"/>
          </w:tcPr>
          <w:p w14:paraId="03D28A55" w14:textId="77777777" w:rsidR="00517619" w:rsidRDefault="00517619" w:rsidP="00F731F9">
            <w:pPr>
              <w:pStyle w:val="TableParagraph"/>
              <w:ind w:left="14" w:right="8"/>
              <w:jc w:val="center"/>
              <w:rPr>
                <w:sz w:val="24"/>
              </w:rPr>
            </w:pPr>
            <w:r>
              <w:rPr>
                <w:sz w:val="24"/>
              </w:rPr>
              <w:t>September</w:t>
            </w:r>
            <w:r>
              <w:rPr>
                <w:spacing w:val="-2"/>
                <w:sz w:val="24"/>
              </w:rPr>
              <w:t xml:space="preserve"> </w:t>
            </w:r>
            <w:r>
              <w:rPr>
                <w:spacing w:val="-4"/>
                <w:sz w:val="24"/>
              </w:rPr>
              <w:t>2021</w:t>
            </w:r>
          </w:p>
        </w:tc>
      </w:tr>
      <w:tr w:rsidR="00517619" w14:paraId="070B2331" w14:textId="77777777" w:rsidTr="00F731F9">
        <w:trPr>
          <w:trHeight w:val="275"/>
        </w:trPr>
        <w:tc>
          <w:tcPr>
            <w:tcW w:w="2780" w:type="dxa"/>
          </w:tcPr>
          <w:p w14:paraId="20F4958D" w14:textId="77777777" w:rsidR="00517619" w:rsidRDefault="00517619" w:rsidP="00F731F9">
            <w:pPr>
              <w:pStyle w:val="TableParagraph"/>
              <w:ind w:left="15" w:right="7"/>
              <w:jc w:val="center"/>
              <w:rPr>
                <w:sz w:val="24"/>
              </w:rPr>
            </w:pPr>
            <w:r>
              <w:rPr>
                <w:sz w:val="24"/>
              </w:rPr>
              <w:t>October</w:t>
            </w:r>
            <w:r>
              <w:rPr>
                <w:spacing w:val="-4"/>
                <w:sz w:val="24"/>
              </w:rPr>
              <w:t xml:space="preserve"> 2021</w:t>
            </w:r>
          </w:p>
        </w:tc>
        <w:tc>
          <w:tcPr>
            <w:tcW w:w="2777" w:type="dxa"/>
          </w:tcPr>
          <w:p w14:paraId="621A038F" w14:textId="77777777" w:rsidR="00517619" w:rsidRDefault="00517619" w:rsidP="00F731F9">
            <w:pPr>
              <w:pStyle w:val="TableParagraph"/>
              <w:ind w:left="13" w:right="5"/>
              <w:jc w:val="center"/>
              <w:rPr>
                <w:sz w:val="24"/>
              </w:rPr>
            </w:pPr>
            <w:r>
              <w:rPr>
                <w:sz w:val="24"/>
              </w:rPr>
              <w:t>July</w:t>
            </w:r>
            <w:r>
              <w:rPr>
                <w:spacing w:val="-4"/>
                <w:sz w:val="24"/>
              </w:rPr>
              <w:t xml:space="preserve"> 2021</w:t>
            </w:r>
          </w:p>
        </w:tc>
        <w:tc>
          <w:tcPr>
            <w:tcW w:w="2676" w:type="dxa"/>
          </w:tcPr>
          <w:p w14:paraId="1B076DC7" w14:textId="77777777" w:rsidR="00517619" w:rsidRDefault="00517619" w:rsidP="00F731F9">
            <w:pPr>
              <w:pStyle w:val="TableParagraph"/>
              <w:ind w:left="14" w:right="8"/>
              <w:jc w:val="center"/>
              <w:rPr>
                <w:sz w:val="24"/>
              </w:rPr>
            </w:pPr>
            <w:r>
              <w:rPr>
                <w:sz w:val="24"/>
              </w:rPr>
              <w:t>October</w:t>
            </w:r>
            <w:r>
              <w:rPr>
                <w:spacing w:val="-4"/>
                <w:sz w:val="24"/>
              </w:rPr>
              <w:t xml:space="preserve"> 2021</w:t>
            </w:r>
          </w:p>
        </w:tc>
      </w:tr>
      <w:tr w:rsidR="00517619" w14:paraId="13FB534E" w14:textId="77777777" w:rsidTr="00F731F9">
        <w:trPr>
          <w:trHeight w:val="275"/>
        </w:trPr>
        <w:tc>
          <w:tcPr>
            <w:tcW w:w="2780" w:type="dxa"/>
          </w:tcPr>
          <w:p w14:paraId="5151D59B" w14:textId="77777777" w:rsidR="00517619" w:rsidRDefault="00517619" w:rsidP="00F731F9">
            <w:pPr>
              <w:pStyle w:val="TableParagraph"/>
              <w:ind w:left="15" w:right="7"/>
              <w:jc w:val="center"/>
              <w:rPr>
                <w:sz w:val="24"/>
              </w:rPr>
            </w:pPr>
            <w:r>
              <w:rPr>
                <w:sz w:val="24"/>
              </w:rPr>
              <w:t>November</w:t>
            </w:r>
            <w:r>
              <w:rPr>
                <w:spacing w:val="-4"/>
                <w:sz w:val="24"/>
              </w:rPr>
              <w:t xml:space="preserve"> 2021</w:t>
            </w:r>
          </w:p>
        </w:tc>
        <w:tc>
          <w:tcPr>
            <w:tcW w:w="2777" w:type="dxa"/>
          </w:tcPr>
          <w:p w14:paraId="4B7C8E19" w14:textId="77777777" w:rsidR="00517619" w:rsidRDefault="00517619" w:rsidP="00F731F9">
            <w:pPr>
              <w:pStyle w:val="TableParagraph"/>
              <w:ind w:left="13" w:right="5"/>
              <w:jc w:val="center"/>
              <w:rPr>
                <w:sz w:val="24"/>
              </w:rPr>
            </w:pPr>
            <w:r>
              <w:rPr>
                <w:sz w:val="24"/>
              </w:rPr>
              <w:t>August</w:t>
            </w:r>
            <w:r>
              <w:rPr>
                <w:spacing w:val="-3"/>
                <w:sz w:val="24"/>
              </w:rPr>
              <w:t xml:space="preserve"> </w:t>
            </w:r>
            <w:r>
              <w:rPr>
                <w:spacing w:val="-4"/>
                <w:sz w:val="24"/>
              </w:rPr>
              <w:t>2021</w:t>
            </w:r>
          </w:p>
        </w:tc>
        <w:tc>
          <w:tcPr>
            <w:tcW w:w="2676" w:type="dxa"/>
          </w:tcPr>
          <w:p w14:paraId="0464396A" w14:textId="77777777" w:rsidR="00517619" w:rsidRDefault="00517619" w:rsidP="00F731F9">
            <w:pPr>
              <w:pStyle w:val="TableParagraph"/>
              <w:ind w:left="14" w:right="8"/>
              <w:jc w:val="center"/>
              <w:rPr>
                <w:sz w:val="24"/>
              </w:rPr>
            </w:pPr>
            <w:r>
              <w:rPr>
                <w:sz w:val="24"/>
              </w:rPr>
              <w:t>November</w:t>
            </w:r>
            <w:r>
              <w:rPr>
                <w:spacing w:val="-4"/>
                <w:sz w:val="24"/>
              </w:rPr>
              <w:t xml:space="preserve"> 2021</w:t>
            </w:r>
          </w:p>
        </w:tc>
      </w:tr>
      <w:tr w:rsidR="00517619" w14:paraId="68E54C63" w14:textId="77777777" w:rsidTr="00F731F9">
        <w:trPr>
          <w:trHeight w:val="277"/>
        </w:trPr>
        <w:tc>
          <w:tcPr>
            <w:tcW w:w="2780" w:type="dxa"/>
          </w:tcPr>
          <w:p w14:paraId="2BB788DD" w14:textId="77777777" w:rsidR="00517619" w:rsidRDefault="00517619" w:rsidP="00F731F9">
            <w:pPr>
              <w:pStyle w:val="TableParagraph"/>
              <w:spacing w:line="258" w:lineRule="exact"/>
              <w:ind w:left="15" w:right="5"/>
              <w:jc w:val="center"/>
              <w:rPr>
                <w:sz w:val="24"/>
              </w:rPr>
            </w:pPr>
            <w:r>
              <w:rPr>
                <w:sz w:val="24"/>
              </w:rPr>
              <w:t>December</w:t>
            </w:r>
            <w:r>
              <w:rPr>
                <w:spacing w:val="-3"/>
                <w:sz w:val="24"/>
              </w:rPr>
              <w:t xml:space="preserve"> </w:t>
            </w:r>
            <w:r>
              <w:rPr>
                <w:spacing w:val="-4"/>
                <w:sz w:val="24"/>
              </w:rPr>
              <w:t>2021</w:t>
            </w:r>
          </w:p>
        </w:tc>
        <w:tc>
          <w:tcPr>
            <w:tcW w:w="2777" w:type="dxa"/>
          </w:tcPr>
          <w:p w14:paraId="3B0A6299" w14:textId="77777777" w:rsidR="00517619" w:rsidRDefault="00517619" w:rsidP="00F731F9">
            <w:pPr>
              <w:pStyle w:val="TableParagraph"/>
              <w:spacing w:line="258" w:lineRule="exact"/>
              <w:ind w:left="13" w:right="7"/>
              <w:jc w:val="center"/>
              <w:rPr>
                <w:sz w:val="24"/>
              </w:rPr>
            </w:pPr>
            <w:r>
              <w:rPr>
                <w:sz w:val="24"/>
              </w:rPr>
              <w:t>September</w:t>
            </w:r>
            <w:r>
              <w:rPr>
                <w:spacing w:val="-2"/>
                <w:sz w:val="24"/>
              </w:rPr>
              <w:t xml:space="preserve"> </w:t>
            </w:r>
            <w:r>
              <w:rPr>
                <w:spacing w:val="-4"/>
                <w:sz w:val="24"/>
              </w:rPr>
              <w:t>2021</w:t>
            </w:r>
          </w:p>
        </w:tc>
        <w:tc>
          <w:tcPr>
            <w:tcW w:w="2676" w:type="dxa"/>
          </w:tcPr>
          <w:p w14:paraId="18755908" w14:textId="77777777" w:rsidR="00517619" w:rsidRDefault="00517619" w:rsidP="00F731F9">
            <w:pPr>
              <w:pStyle w:val="TableParagraph"/>
              <w:spacing w:line="258" w:lineRule="exact"/>
              <w:ind w:left="14" w:right="5"/>
              <w:jc w:val="center"/>
              <w:rPr>
                <w:sz w:val="24"/>
              </w:rPr>
            </w:pPr>
            <w:r>
              <w:rPr>
                <w:sz w:val="24"/>
              </w:rPr>
              <w:t>December</w:t>
            </w:r>
            <w:r>
              <w:rPr>
                <w:spacing w:val="-3"/>
                <w:sz w:val="24"/>
              </w:rPr>
              <w:t xml:space="preserve"> </w:t>
            </w:r>
            <w:r>
              <w:rPr>
                <w:spacing w:val="-4"/>
                <w:sz w:val="24"/>
              </w:rPr>
              <w:t>2021</w:t>
            </w:r>
          </w:p>
        </w:tc>
      </w:tr>
      <w:tr w:rsidR="00517619" w14:paraId="2C3D308B" w14:textId="77777777" w:rsidTr="00F731F9">
        <w:trPr>
          <w:trHeight w:val="275"/>
        </w:trPr>
        <w:tc>
          <w:tcPr>
            <w:tcW w:w="2780" w:type="dxa"/>
          </w:tcPr>
          <w:p w14:paraId="3FB072EB" w14:textId="77777777" w:rsidR="00517619" w:rsidRDefault="00517619" w:rsidP="00F731F9">
            <w:pPr>
              <w:pStyle w:val="TableParagraph"/>
              <w:ind w:left="15" w:right="5"/>
              <w:jc w:val="center"/>
              <w:rPr>
                <w:sz w:val="24"/>
              </w:rPr>
            </w:pPr>
            <w:r>
              <w:rPr>
                <w:sz w:val="24"/>
              </w:rPr>
              <w:t>January</w:t>
            </w:r>
            <w:r>
              <w:rPr>
                <w:spacing w:val="-4"/>
                <w:sz w:val="24"/>
              </w:rPr>
              <w:t xml:space="preserve"> 2022</w:t>
            </w:r>
          </w:p>
        </w:tc>
        <w:tc>
          <w:tcPr>
            <w:tcW w:w="2777" w:type="dxa"/>
          </w:tcPr>
          <w:p w14:paraId="6F356BFF" w14:textId="77777777" w:rsidR="00517619" w:rsidRDefault="00517619" w:rsidP="00F731F9">
            <w:pPr>
              <w:pStyle w:val="TableParagraph"/>
              <w:ind w:left="13" w:right="7"/>
              <w:jc w:val="center"/>
              <w:rPr>
                <w:sz w:val="24"/>
              </w:rPr>
            </w:pPr>
            <w:r>
              <w:rPr>
                <w:sz w:val="24"/>
              </w:rPr>
              <w:t>October</w:t>
            </w:r>
            <w:r>
              <w:rPr>
                <w:spacing w:val="-4"/>
                <w:sz w:val="24"/>
              </w:rPr>
              <w:t xml:space="preserve"> 2021</w:t>
            </w:r>
          </w:p>
        </w:tc>
        <w:tc>
          <w:tcPr>
            <w:tcW w:w="2676" w:type="dxa"/>
          </w:tcPr>
          <w:p w14:paraId="6F7D128A" w14:textId="77777777" w:rsidR="00517619" w:rsidRDefault="00517619" w:rsidP="00F731F9">
            <w:pPr>
              <w:pStyle w:val="TableParagraph"/>
              <w:ind w:left="14" w:right="6"/>
              <w:jc w:val="center"/>
              <w:rPr>
                <w:sz w:val="24"/>
              </w:rPr>
            </w:pPr>
            <w:r>
              <w:rPr>
                <w:sz w:val="24"/>
              </w:rPr>
              <w:t>January</w:t>
            </w:r>
            <w:r>
              <w:rPr>
                <w:spacing w:val="-4"/>
                <w:sz w:val="24"/>
              </w:rPr>
              <w:t xml:space="preserve"> 2022</w:t>
            </w:r>
          </w:p>
        </w:tc>
      </w:tr>
      <w:tr w:rsidR="00517619" w14:paraId="77AEB8BC" w14:textId="77777777" w:rsidTr="00F731F9">
        <w:trPr>
          <w:trHeight w:val="275"/>
        </w:trPr>
        <w:tc>
          <w:tcPr>
            <w:tcW w:w="2780" w:type="dxa"/>
          </w:tcPr>
          <w:p w14:paraId="427C1A70" w14:textId="77777777" w:rsidR="00517619" w:rsidRDefault="00517619" w:rsidP="00F731F9">
            <w:pPr>
              <w:pStyle w:val="TableParagraph"/>
              <w:ind w:left="15" w:right="5"/>
              <w:jc w:val="center"/>
              <w:rPr>
                <w:sz w:val="24"/>
              </w:rPr>
            </w:pPr>
            <w:r>
              <w:rPr>
                <w:sz w:val="24"/>
              </w:rPr>
              <w:t>February</w:t>
            </w:r>
            <w:r>
              <w:rPr>
                <w:spacing w:val="-5"/>
                <w:sz w:val="24"/>
              </w:rPr>
              <w:t xml:space="preserve"> </w:t>
            </w:r>
            <w:r>
              <w:rPr>
                <w:spacing w:val="-4"/>
                <w:sz w:val="24"/>
              </w:rPr>
              <w:t>2022</w:t>
            </w:r>
          </w:p>
        </w:tc>
        <w:tc>
          <w:tcPr>
            <w:tcW w:w="2777" w:type="dxa"/>
          </w:tcPr>
          <w:p w14:paraId="2E0F21A4" w14:textId="77777777" w:rsidR="00517619" w:rsidRDefault="00517619" w:rsidP="00F731F9">
            <w:pPr>
              <w:pStyle w:val="TableParagraph"/>
              <w:ind w:left="13" w:right="7"/>
              <w:jc w:val="center"/>
              <w:rPr>
                <w:sz w:val="24"/>
              </w:rPr>
            </w:pPr>
            <w:r>
              <w:rPr>
                <w:sz w:val="24"/>
              </w:rPr>
              <w:t>November</w:t>
            </w:r>
            <w:r>
              <w:rPr>
                <w:spacing w:val="-4"/>
                <w:sz w:val="24"/>
              </w:rPr>
              <w:t xml:space="preserve"> 2021</w:t>
            </w:r>
          </w:p>
        </w:tc>
        <w:tc>
          <w:tcPr>
            <w:tcW w:w="2676" w:type="dxa"/>
          </w:tcPr>
          <w:p w14:paraId="158A5A16" w14:textId="77777777" w:rsidR="00517619" w:rsidRDefault="00517619" w:rsidP="00F731F9">
            <w:pPr>
              <w:pStyle w:val="TableParagraph"/>
              <w:ind w:left="14" w:right="6"/>
              <w:jc w:val="center"/>
              <w:rPr>
                <w:sz w:val="24"/>
              </w:rPr>
            </w:pPr>
            <w:r>
              <w:rPr>
                <w:sz w:val="24"/>
              </w:rPr>
              <w:t>February</w:t>
            </w:r>
            <w:r>
              <w:rPr>
                <w:spacing w:val="-5"/>
                <w:sz w:val="24"/>
              </w:rPr>
              <w:t xml:space="preserve"> </w:t>
            </w:r>
            <w:r>
              <w:rPr>
                <w:spacing w:val="-4"/>
                <w:sz w:val="24"/>
              </w:rPr>
              <w:t>2022</w:t>
            </w:r>
          </w:p>
        </w:tc>
      </w:tr>
      <w:tr w:rsidR="00517619" w14:paraId="3B927E5A" w14:textId="77777777" w:rsidTr="00F731F9">
        <w:trPr>
          <w:trHeight w:val="275"/>
        </w:trPr>
        <w:tc>
          <w:tcPr>
            <w:tcW w:w="2780" w:type="dxa"/>
          </w:tcPr>
          <w:p w14:paraId="04F1EDBA" w14:textId="77777777" w:rsidR="00517619" w:rsidRDefault="00517619" w:rsidP="00F731F9">
            <w:pPr>
              <w:pStyle w:val="TableParagraph"/>
              <w:ind w:left="15" w:right="4"/>
              <w:jc w:val="center"/>
              <w:rPr>
                <w:sz w:val="24"/>
              </w:rPr>
            </w:pPr>
            <w:r>
              <w:rPr>
                <w:sz w:val="24"/>
              </w:rPr>
              <w:t>March</w:t>
            </w:r>
            <w:r>
              <w:rPr>
                <w:spacing w:val="-3"/>
                <w:sz w:val="24"/>
              </w:rPr>
              <w:t xml:space="preserve"> </w:t>
            </w:r>
            <w:r>
              <w:rPr>
                <w:spacing w:val="-4"/>
                <w:sz w:val="24"/>
              </w:rPr>
              <w:t>2022</w:t>
            </w:r>
          </w:p>
        </w:tc>
        <w:tc>
          <w:tcPr>
            <w:tcW w:w="2777" w:type="dxa"/>
          </w:tcPr>
          <w:p w14:paraId="50399B90" w14:textId="77777777" w:rsidR="00517619" w:rsidRDefault="00517619" w:rsidP="00F731F9">
            <w:pPr>
              <w:pStyle w:val="TableParagraph"/>
              <w:ind w:left="13" w:right="5"/>
              <w:jc w:val="center"/>
              <w:rPr>
                <w:sz w:val="24"/>
              </w:rPr>
            </w:pPr>
            <w:r>
              <w:rPr>
                <w:sz w:val="24"/>
              </w:rPr>
              <w:t>December</w:t>
            </w:r>
            <w:r>
              <w:rPr>
                <w:spacing w:val="-3"/>
                <w:sz w:val="24"/>
              </w:rPr>
              <w:t xml:space="preserve"> </w:t>
            </w:r>
            <w:r>
              <w:rPr>
                <w:spacing w:val="-4"/>
                <w:sz w:val="24"/>
              </w:rPr>
              <w:t>2021</w:t>
            </w:r>
          </w:p>
        </w:tc>
        <w:tc>
          <w:tcPr>
            <w:tcW w:w="2676" w:type="dxa"/>
          </w:tcPr>
          <w:p w14:paraId="4D11B67C" w14:textId="77777777" w:rsidR="00517619" w:rsidRDefault="00517619" w:rsidP="00F731F9">
            <w:pPr>
              <w:pStyle w:val="TableParagraph"/>
              <w:ind w:left="14" w:right="5"/>
              <w:jc w:val="center"/>
              <w:rPr>
                <w:sz w:val="24"/>
              </w:rPr>
            </w:pPr>
            <w:r>
              <w:rPr>
                <w:sz w:val="24"/>
              </w:rPr>
              <w:t>March</w:t>
            </w:r>
            <w:r>
              <w:rPr>
                <w:spacing w:val="-3"/>
                <w:sz w:val="24"/>
              </w:rPr>
              <w:t xml:space="preserve"> </w:t>
            </w:r>
            <w:r>
              <w:rPr>
                <w:spacing w:val="-4"/>
                <w:sz w:val="24"/>
              </w:rPr>
              <w:t>2022</w:t>
            </w:r>
          </w:p>
        </w:tc>
      </w:tr>
      <w:tr w:rsidR="00517619" w14:paraId="09A85350" w14:textId="77777777" w:rsidTr="00F731F9">
        <w:trPr>
          <w:trHeight w:val="275"/>
        </w:trPr>
        <w:tc>
          <w:tcPr>
            <w:tcW w:w="2780" w:type="dxa"/>
          </w:tcPr>
          <w:p w14:paraId="7E060B39" w14:textId="77777777" w:rsidR="00517619" w:rsidRDefault="00517619" w:rsidP="00F731F9">
            <w:pPr>
              <w:pStyle w:val="TableParagraph"/>
              <w:ind w:left="15" w:right="2"/>
              <w:jc w:val="center"/>
              <w:rPr>
                <w:sz w:val="24"/>
              </w:rPr>
            </w:pPr>
            <w:r>
              <w:rPr>
                <w:sz w:val="24"/>
              </w:rPr>
              <w:t>April</w:t>
            </w:r>
            <w:r>
              <w:rPr>
                <w:spacing w:val="-2"/>
                <w:sz w:val="24"/>
              </w:rPr>
              <w:t xml:space="preserve"> </w:t>
            </w:r>
            <w:r>
              <w:rPr>
                <w:spacing w:val="-4"/>
                <w:sz w:val="24"/>
              </w:rPr>
              <w:t>2022</w:t>
            </w:r>
          </w:p>
        </w:tc>
        <w:tc>
          <w:tcPr>
            <w:tcW w:w="2777" w:type="dxa"/>
          </w:tcPr>
          <w:p w14:paraId="48E98351" w14:textId="77777777" w:rsidR="00517619" w:rsidRDefault="00517619" w:rsidP="00F731F9">
            <w:pPr>
              <w:pStyle w:val="TableParagraph"/>
              <w:ind w:left="13" w:right="5"/>
              <w:jc w:val="center"/>
              <w:rPr>
                <w:sz w:val="24"/>
              </w:rPr>
            </w:pPr>
            <w:r>
              <w:rPr>
                <w:sz w:val="24"/>
              </w:rPr>
              <w:t>January</w:t>
            </w:r>
            <w:r>
              <w:rPr>
                <w:spacing w:val="-4"/>
                <w:sz w:val="24"/>
              </w:rPr>
              <w:t xml:space="preserve"> 2022</w:t>
            </w:r>
          </w:p>
        </w:tc>
        <w:tc>
          <w:tcPr>
            <w:tcW w:w="2676" w:type="dxa"/>
          </w:tcPr>
          <w:p w14:paraId="415F8CC6" w14:textId="77777777" w:rsidR="00517619" w:rsidRDefault="00517619" w:rsidP="00F731F9">
            <w:pPr>
              <w:pStyle w:val="TableParagraph"/>
              <w:ind w:left="14" w:right="3"/>
              <w:jc w:val="center"/>
              <w:rPr>
                <w:sz w:val="24"/>
              </w:rPr>
            </w:pPr>
            <w:r>
              <w:rPr>
                <w:sz w:val="24"/>
              </w:rPr>
              <w:t>April</w:t>
            </w:r>
            <w:r>
              <w:rPr>
                <w:spacing w:val="-2"/>
                <w:sz w:val="24"/>
              </w:rPr>
              <w:t xml:space="preserve"> </w:t>
            </w:r>
            <w:r>
              <w:rPr>
                <w:spacing w:val="-4"/>
                <w:sz w:val="24"/>
              </w:rPr>
              <w:t>2022</w:t>
            </w:r>
          </w:p>
        </w:tc>
      </w:tr>
      <w:tr w:rsidR="00517619" w14:paraId="56000550" w14:textId="77777777" w:rsidTr="00F731F9">
        <w:trPr>
          <w:trHeight w:val="276"/>
        </w:trPr>
        <w:tc>
          <w:tcPr>
            <w:tcW w:w="2780" w:type="dxa"/>
          </w:tcPr>
          <w:p w14:paraId="1990CD33" w14:textId="77777777" w:rsidR="00517619" w:rsidRDefault="00517619" w:rsidP="00F731F9">
            <w:pPr>
              <w:pStyle w:val="TableParagraph"/>
              <w:ind w:left="15" w:right="5"/>
              <w:jc w:val="center"/>
              <w:rPr>
                <w:sz w:val="24"/>
              </w:rPr>
            </w:pPr>
            <w:r>
              <w:rPr>
                <w:sz w:val="24"/>
              </w:rPr>
              <w:t>May</w:t>
            </w:r>
            <w:r>
              <w:rPr>
                <w:spacing w:val="-4"/>
                <w:sz w:val="24"/>
              </w:rPr>
              <w:t xml:space="preserve"> 2022</w:t>
            </w:r>
          </w:p>
        </w:tc>
        <w:tc>
          <w:tcPr>
            <w:tcW w:w="2777" w:type="dxa"/>
          </w:tcPr>
          <w:p w14:paraId="631CECA6" w14:textId="77777777" w:rsidR="00517619" w:rsidRDefault="00517619" w:rsidP="00F731F9">
            <w:pPr>
              <w:pStyle w:val="TableParagraph"/>
              <w:ind w:left="13" w:right="5"/>
              <w:jc w:val="center"/>
              <w:rPr>
                <w:sz w:val="24"/>
              </w:rPr>
            </w:pPr>
            <w:r>
              <w:rPr>
                <w:sz w:val="24"/>
              </w:rPr>
              <w:t>February</w:t>
            </w:r>
            <w:r>
              <w:rPr>
                <w:spacing w:val="-5"/>
                <w:sz w:val="24"/>
              </w:rPr>
              <w:t xml:space="preserve"> </w:t>
            </w:r>
            <w:r>
              <w:rPr>
                <w:spacing w:val="-4"/>
                <w:sz w:val="24"/>
              </w:rPr>
              <w:t>2022</w:t>
            </w:r>
          </w:p>
        </w:tc>
        <w:tc>
          <w:tcPr>
            <w:tcW w:w="2676" w:type="dxa"/>
          </w:tcPr>
          <w:p w14:paraId="67AF9550" w14:textId="77777777" w:rsidR="00517619" w:rsidRDefault="00517619" w:rsidP="00F731F9">
            <w:pPr>
              <w:pStyle w:val="TableParagraph"/>
              <w:ind w:left="14" w:right="5"/>
              <w:jc w:val="center"/>
              <w:rPr>
                <w:sz w:val="24"/>
              </w:rPr>
            </w:pPr>
            <w:r>
              <w:rPr>
                <w:sz w:val="24"/>
              </w:rPr>
              <w:t>May</w:t>
            </w:r>
            <w:r>
              <w:rPr>
                <w:spacing w:val="-4"/>
                <w:sz w:val="24"/>
              </w:rPr>
              <w:t xml:space="preserve"> 2022</w:t>
            </w:r>
          </w:p>
        </w:tc>
      </w:tr>
      <w:tr w:rsidR="00517619" w14:paraId="0DE23A57" w14:textId="77777777" w:rsidTr="00F731F9">
        <w:trPr>
          <w:trHeight w:val="277"/>
        </w:trPr>
        <w:tc>
          <w:tcPr>
            <w:tcW w:w="2780" w:type="dxa"/>
          </w:tcPr>
          <w:p w14:paraId="59D8B370" w14:textId="77777777" w:rsidR="00517619" w:rsidRDefault="00517619" w:rsidP="00F731F9">
            <w:pPr>
              <w:pStyle w:val="TableParagraph"/>
              <w:spacing w:line="258" w:lineRule="exact"/>
              <w:ind w:left="15"/>
              <w:jc w:val="center"/>
              <w:rPr>
                <w:sz w:val="24"/>
              </w:rPr>
            </w:pPr>
            <w:r>
              <w:rPr>
                <w:sz w:val="24"/>
              </w:rPr>
              <w:t>June</w:t>
            </w:r>
            <w:r>
              <w:rPr>
                <w:spacing w:val="1"/>
                <w:sz w:val="24"/>
              </w:rPr>
              <w:t xml:space="preserve"> </w:t>
            </w:r>
            <w:r>
              <w:rPr>
                <w:spacing w:val="-4"/>
                <w:sz w:val="24"/>
              </w:rPr>
              <w:t>2022</w:t>
            </w:r>
          </w:p>
        </w:tc>
        <w:tc>
          <w:tcPr>
            <w:tcW w:w="2777" w:type="dxa"/>
          </w:tcPr>
          <w:p w14:paraId="6968C6AC" w14:textId="77777777" w:rsidR="00517619" w:rsidRDefault="00517619" w:rsidP="00F731F9">
            <w:pPr>
              <w:pStyle w:val="TableParagraph"/>
              <w:spacing w:line="258" w:lineRule="exact"/>
              <w:ind w:left="13" w:right="5"/>
              <w:jc w:val="center"/>
              <w:rPr>
                <w:sz w:val="24"/>
              </w:rPr>
            </w:pPr>
            <w:r>
              <w:rPr>
                <w:sz w:val="24"/>
              </w:rPr>
              <w:t>March</w:t>
            </w:r>
            <w:r>
              <w:rPr>
                <w:spacing w:val="-3"/>
                <w:sz w:val="24"/>
              </w:rPr>
              <w:t xml:space="preserve"> </w:t>
            </w:r>
            <w:r>
              <w:rPr>
                <w:spacing w:val="-4"/>
                <w:sz w:val="24"/>
              </w:rPr>
              <w:t>2022</w:t>
            </w:r>
          </w:p>
        </w:tc>
        <w:tc>
          <w:tcPr>
            <w:tcW w:w="2676" w:type="dxa"/>
          </w:tcPr>
          <w:p w14:paraId="739A9F67" w14:textId="77777777" w:rsidR="00517619" w:rsidRDefault="00517619" w:rsidP="00F731F9">
            <w:pPr>
              <w:pStyle w:val="TableParagraph"/>
              <w:spacing w:line="258" w:lineRule="exact"/>
              <w:ind w:left="14"/>
              <w:jc w:val="center"/>
              <w:rPr>
                <w:sz w:val="24"/>
              </w:rPr>
            </w:pPr>
            <w:r>
              <w:rPr>
                <w:sz w:val="24"/>
              </w:rPr>
              <w:t>June</w:t>
            </w:r>
            <w:r>
              <w:rPr>
                <w:spacing w:val="1"/>
                <w:sz w:val="24"/>
              </w:rPr>
              <w:t xml:space="preserve"> </w:t>
            </w:r>
            <w:r>
              <w:rPr>
                <w:spacing w:val="-4"/>
                <w:sz w:val="24"/>
              </w:rPr>
              <w:t>2022</w:t>
            </w:r>
          </w:p>
        </w:tc>
      </w:tr>
      <w:tr w:rsidR="00517619" w14:paraId="350CE2FF" w14:textId="77777777" w:rsidTr="00F731F9">
        <w:trPr>
          <w:trHeight w:val="275"/>
        </w:trPr>
        <w:tc>
          <w:tcPr>
            <w:tcW w:w="2780" w:type="dxa"/>
          </w:tcPr>
          <w:p w14:paraId="3AE4E243" w14:textId="77777777" w:rsidR="00517619" w:rsidRDefault="00517619" w:rsidP="00F731F9">
            <w:pPr>
              <w:pStyle w:val="TableParagraph"/>
              <w:ind w:left="15" w:right="5"/>
              <w:jc w:val="center"/>
              <w:rPr>
                <w:sz w:val="24"/>
              </w:rPr>
            </w:pPr>
            <w:r>
              <w:rPr>
                <w:sz w:val="24"/>
              </w:rPr>
              <w:t>July</w:t>
            </w:r>
            <w:r>
              <w:rPr>
                <w:spacing w:val="-4"/>
                <w:sz w:val="24"/>
              </w:rPr>
              <w:t xml:space="preserve"> 2022</w:t>
            </w:r>
          </w:p>
        </w:tc>
        <w:tc>
          <w:tcPr>
            <w:tcW w:w="2777" w:type="dxa"/>
          </w:tcPr>
          <w:p w14:paraId="79C90931" w14:textId="77777777" w:rsidR="00517619" w:rsidRDefault="00517619" w:rsidP="00F731F9">
            <w:pPr>
              <w:pStyle w:val="TableParagraph"/>
              <w:ind w:left="13" w:right="3"/>
              <w:jc w:val="center"/>
              <w:rPr>
                <w:sz w:val="24"/>
              </w:rPr>
            </w:pPr>
            <w:r>
              <w:rPr>
                <w:sz w:val="24"/>
              </w:rPr>
              <w:t>April</w:t>
            </w:r>
            <w:r>
              <w:rPr>
                <w:spacing w:val="-2"/>
                <w:sz w:val="24"/>
              </w:rPr>
              <w:t xml:space="preserve"> </w:t>
            </w:r>
            <w:r>
              <w:rPr>
                <w:spacing w:val="-4"/>
                <w:sz w:val="24"/>
              </w:rPr>
              <w:t>2022</w:t>
            </w:r>
          </w:p>
        </w:tc>
        <w:tc>
          <w:tcPr>
            <w:tcW w:w="2676" w:type="dxa"/>
          </w:tcPr>
          <w:p w14:paraId="30728960" w14:textId="77777777" w:rsidR="00517619" w:rsidRDefault="00517619" w:rsidP="00F731F9">
            <w:pPr>
              <w:pStyle w:val="TableParagraph"/>
              <w:ind w:left="14" w:right="6"/>
              <w:jc w:val="center"/>
              <w:rPr>
                <w:sz w:val="24"/>
              </w:rPr>
            </w:pPr>
            <w:r>
              <w:rPr>
                <w:sz w:val="24"/>
              </w:rPr>
              <w:t>July</w:t>
            </w:r>
            <w:r>
              <w:rPr>
                <w:spacing w:val="-4"/>
                <w:sz w:val="24"/>
              </w:rPr>
              <w:t xml:space="preserve"> 2022</w:t>
            </w:r>
          </w:p>
        </w:tc>
      </w:tr>
    </w:tbl>
    <w:p w14:paraId="4A6D102D" w14:textId="77777777" w:rsidR="00517619" w:rsidRDefault="00517619" w:rsidP="00713A67"/>
    <w:p w14:paraId="6E257D5C" w14:textId="291380D4" w:rsidR="00517619" w:rsidRDefault="00713A67" w:rsidP="00713A67">
      <w:pPr>
        <w:pStyle w:val="ListParagraph"/>
        <w:ind w:left="0"/>
        <w:rPr>
          <w:rFonts w:ascii="Arial" w:hAnsi="Arial" w:cs="Arial"/>
          <w:sz w:val="24"/>
          <w:szCs w:val="40"/>
        </w:rPr>
      </w:pPr>
      <w:r>
        <w:rPr>
          <w:rFonts w:ascii="Arial" w:hAnsi="Arial" w:cs="Arial"/>
          <w:sz w:val="24"/>
          <w:szCs w:val="40"/>
        </w:rPr>
        <w:t xml:space="preserve">Terminologies </w:t>
      </w:r>
    </w:p>
    <w:p w14:paraId="1F24EA9C" w14:textId="77777777" w:rsidR="00713A67" w:rsidRPr="00713A67" w:rsidRDefault="00713A67" w:rsidP="001911CB">
      <w:pPr>
        <w:shd w:val="clear" w:color="auto" w:fill="FFFFFF"/>
        <w:spacing w:after="225" w:line="480" w:lineRule="atLeast"/>
        <w:jc w:val="both"/>
        <w:textAlignment w:val="baseline"/>
        <w:outlineLvl w:val="1"/>
        <w:rPr>
          <w:rFonts w:ascii="Arial" w:eastAsia="Times New Roman" w:hAnsi="Arial" w:cs="Arial"/>
          <w:kern w:val="0"/>
          <w:sz w:val="24"/>
          <w:szCs w:val="24"/>
          <w:lang w:eastAsia="en-IN"/>
          <w14:ligatures w14:val="none"/>
        </w:rPr>
      </w:pPr>
      <w:r w:rsidRPr="00713A67">
        <w:rPr>
          <w:rFonts w:ascii="Arial" w:eastAsia="Times New Roman" w:hAnsi="Arial" w:cs="Arial"/>
          <w:kern w:val="0"/>
          <w:sz w:val="24"/>
          <w:szCs w:val="24"/>
          <w:lang w:eastAsia="en-IN"/>
          <w14:ligatures w14:val="none"/>
        </w:rPr>
        <w:t>1.Lot size</w:t>
      </w:r>
    </w:p>
    <w:p w14:paraId="66492030" w14:textId="77777777" w:rsidR="00713A67" w:rsidRPr="00713A67" w:rsidRDefault="00713A67" w:rsidP="001911CB">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A </w:t>
      </w:r>
      <w:hyperlink r:id="rId5" w:history="1">
        <w:r w:rsidRPr="00713A67">
          <w:rPr>
            <w:rFonts w:ascii="Arial" w:eastAsia="Times New Roman" w:hAnsi="Arial" w:cs="Arial"/>
            <w:color w:val="053D6E"/>
            <w:kern w:val="0"/>
            <w:sz w:val="24"/>
            <w:szCs w:val="24"/>
            <w:u w:val="single"/>
            <w:bdr w:val="none" w:sz="0" w:space="0" w:color="auto" w:frame="1"/>
            <w:lang w:eastAsia="en-IN"/>
            <w14:ligatures w14:val="none"/>
          </w:rPr>
          <w:t>Futures contract</w:t>
        </w:r>
      </w:hyperlink>
      <w:r w:rsidRPr="00713A67">
        <w:rPr>
          <w:rFonts w:ascii="Arial" w:eastAsia="Times New Roman" w:hAnsi="Arial" w:cs="Arial"/>
          <w:color w:val="303030"/>
          <w:kern w:val="0"/>
          <w:sz w:val="24"/>
          <w:szCs w:val="24"/>
          <w:lang w:eastAsia="en-IN"/>
          <w14:ligatures w14:val="none"/>
        </w:rPr>
        <w:t xml:space="preserve"> is a standardized contract with certain specifications. One such specification is the lot size, market lot or contract size. A lot size is the minimum number or quantity of units that </w:t>
      </w:r>
      <w:proofErr w:type="gramStart"/>
      <w:r w:rsidRPr="00713A67">
        <w:rPr>
          <w:rFonts w:ascii="Arial" w:eastAsia="Times New Roman" w:hAnsi="Arial" w:cs="Arial"/>
          <w:color w:val="303030"/>
          <w:kern w:val="0"/>
          <w:sz w:val="24"/>
          <w:szCs w:val="24"/>
          <w:lang w:eastAsia="en-IN"/>
          <w14:ligatures w14:val="none"/>
        </w:rPr>
        <w:t>have to</w:t>
      </w:r>
      <w:proofErr w:type="gramEnd"/>
      <w:r w:rsidRPr="00713A67">
        <w:rPr>
          <w:rFonts w:ascii="Arial" w:eastAsia="Times New Roman" w:hAnsi="Arial" w:cs="Arial"/>
          <w:color w:val="303030"/>
          <w:kern w:val="0"/>
          <w:sz w:val="24"/>
          <w:szCs w:val="24"/>
          <w:lang w:eastAsia="en-IN"/>
          <w14:ligatures w14:val="none"/>
        </w:rPr>
        <w:t xml:space="preserve"> be bought or sold under a contract. Lot size will differ from one derivative contract to another.</w:t>
      </w:r>
    </w:p>
    <w:p w14:paraId="1E64B026" w14:textId="77777777" w:rsidR="00713A67" w:rsidRPr="00713A67" w:rsidRDefault="00713A67" w:rsidP="001911CB">
      <w:pPr>
        <w:shd w:val="clear" w:color="auto" w:fill="FFFFFF"/>
        <w:spacing w:after="225"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 xml:space="preserve">For example, an equity derivative on stock A might have a lot size of 300 shares whereas lot size on equity derivatives on stock B might be 100 shares. You can trade in derivatives in multiples of lot sizes only. To calculate the value of a derivate contract, you must multiply the lot size you wish to </w:t>
      </w:r>
      <w:proofErr w:type="gramStart"/>
      <w:r w:rsidRPr="00713A67">
        <w:rPr>
          <w:rFonts w:ascii="Arial" w:eastAsia="Times New Roman" w:hAnsi="Arial" w:cs="Arial"/>
          <w:color w:val="303030"/>
          <w:kern w:val="0"/>
          <w:sz w:val="24"/>
          <w:szCs w:val="24"/>
          <w:lang w:eastAsia="en-IN"/>
          <w14:ligatures w14:val="none"/>
        </w:rPr>
        <w:t>enter into</w:t>
      </w:r>
      <w:proofErr w:type="gramEnd"/>
      <w:r w:rsidRPr="00713A67">
        <w:rPr>
          <w:rFonts w:ascii="Arial" w:eastAsia="Times New Roman" w:hAnsi="Arial" w:cs="Arial"/>
          <w:color w:val="303030"/>
          <w:kern w:val="0"/>
          <w:sz w:val="24"/>
          <w:szCs w:val="24"/>
          <w:lang w:eastAsia="en-IN"/>
          <w14:ligatures w14:val="none"/>
        </w:rPr>
        <w:t xml:space="preserve"> with the current market price per unit. For instance, if the current market price of a stock is Rs. 100, and the lot size is 6,000 shares, then the value of one lot becomes Rs. 100*6000 = Rs. 600,000.</w:t>
      </w:r>
    </w:p>
    <w:p w14:paraId="7DA39D49" w14:textId="77777777" w:rsidR="00713A67" w:rsidRPr="00713A67" w:rsidRDefault="00713A67" w:rsidP="001911CB">
      <w:pPr>
        <w:shd w:val="clear" w:color="auto" w:fill="FFFFFF"/>
        <w:spacing w:after="225" w:line="480" w:lineRule="atLeast"/>
        <w:jc w:val="both"/>
        <w:textAlignment w:val="baseline"/>
        <w:outlineLvl w:val="1"/>
        <w:rPr>
          <w:rFonts w:ascii="Arial" w:eastAsia="Times New Roman" w:hAnsi="Arial" w:cs="Arial"/>
          <w:kern w:val="0"/>
          <w:sz w:val="24"/>
          <w:szCs w:val="24"/>
          <w:lang w:eastAsia="en-IN"/>
          <w14:ligatures w14:val="none"/>
        </w:rPr>
      </w:pPr>
      <w:r w:rsidRPr="00713A67">
        <w:rPr>
          <w:rFonts w:ascii="Arial" w:eastAsia="Times New Roman" w:hAnsi="Arial" w:cs="Arial"/>
          <w:kern w:val="0"/>
          <w:sz w:val="24"/>
          <w:szCs w:val="24"/>
          <w:lang w:eastAsia="en-IN"/>
          <w14:ligatures w14:val="none"/>
        </w:rPr>
        <w:t>2.Expiry date </w:t>
      </w:r>
    </w:p>
    <w:p w14:paraId="08D5EE1D" w14:textId="77777777" w:rsidR="00713A67" w:rsidRPr="00713A67" w:rsidRDefault="00713A67" w:rsidP="001911CB">
      <w:pPr>
        <w:shd w:val="clear" w:color="auto" w:fill="FFFFFF"/>
        <w:spacing w:after="225"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 xml:space="preserve">The expiry date is the date on which the buyer and seller of a Futures contract </w:t>
      </w:r>
      <w:proofErr w:type="gramStart"/>
      <w:r w:rsidRPr="00713A67">
        <w:rPr>
          <w:rFonts w:ascii="Arial" w:eastAsia="Times New Roman" w:hAnsi="Arial" w:cs="Arial"/>
          <w:color w:val="303030"/>
          <w:kern w:val="0"/>
          <w:sz w:val="24"/>
          <w:szCs w:val="24"/>
          <w:lang w:eastAsia="en-IN"/>
          <w14:ligatures w14:val="none"/>
        </w:rPr>
        <w:t>have to</w:t>
      </w:r>
      <w:proofErr w:type="gramEnd"/>
      <w:r w:rsidRPr="00713A67">
        <w:rPr>
          <w:rFonts w:ascii="Arial" w:eastAsia="Times New Roman" w:hAnsi="Arial" w:cs="Arial"/>
          <w:color w:val="303030"/>
          <w:kern w:val="0"/>
          <w:sz w:val="24"/>
          <w:szCs w:val="24"/>
          <w:lang w:eastAsia="en-IN"/>
          <w14:ligatures w14:val="none"/>
        </w:rPr>
        <w:t xml:space="preserve"> </w:t>
      </w:r>
      <w:proofErr w:type="spellStart"/>
      <w:r w:rsidRPr="00713A67">
        <w:rPr>
          <w:rFonts w:ascii="Arial" w:eastAsia="Times New Roman" w:hAnsi="Arial" w:cs="Arial"/>
          <w:color w:val="303030"/>
          <w:kern w:val="0"/>
          <w:sz w:val="24"/>
          <w:szCs w:val="24"/>
          <w:lang w:eastAsia="en-IN"/>
          <w14:ligatures w14:val="none"/>
        </w:rPr>
        <w:t>honor</w:t>
      </w:r>
      <w:proofErr w:type="spellEnd"/>
      <w:r w:rsidRPr="00713A67">
        <w:rPr>
          <w:rFonts w:ascii="Arial" w:eastAsia="Times New Roman" w:hAnsi="Arial" w:cs="Arial"/>
          <w:color w:val="303030"/>
          <w:kern w:val="0"/>
          <w:sz w:val="24"/>
          <w:szCs w:val="24"/>
          <w:lang w:eastAsia="en-IN"/>
          <w14:ligatures w14:val="none"/>
        </w:rPr>
        <w:t xml:space="preserve"> their obligations as per the contract specifications.</w:t>
      </w:r>
    </w:p>
    <w:p w14:paraId="121C73ED" w14:textId="77777777" w:rsidR="00713A67" w:rsidRPr="00713A67" w:rsidRDefault="00713A67" w:rsidP="001911CB">
      <w:pPr>
        <w:numPr>
          <w:ilvl w:val="0"/>
          <w:numId w:val="4"/>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This clearly implies that every Futures or derivative contract has a finite life.</w:t>
      </w:r>
    </w:p>
    <w:p w14:paraId="68981713" w14:textId="77777777" w:rsidR="00713A67" w:rsidRPr="00713A67" w:rsidRDefault="00713A67" w:rsidP="001911CB">
      <w:pPr>
        <w:numPr>
          <w:ilvl w:val="0"/>
          <w:numId w:val="4"/>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To avoid confusion, it has been pre-decided that every derivative contract will expire on the last Thursday of the month. In case that is a trading holiday, the previous trading day shall be considered the expiry date.</w:t>
      </w:r>
    </w:p>
    <w:p w14:paraId="2DBA14C9" w14:textId="5FA0AA6F" w:rsidR="00713A67" w:rsidRPr="001911CB" w:rsidRDefault="00713A67" w:rsidP="001911CB">
      <w:pPr>
        <w:numPr>
          <w:ilvl w:val="0"/>
          <w:numId w:val="4"/>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lastRenderedPageBreak/>
        <w:t>For instance, at the end of June 202</w:t>
      </w:r>
      <w:r w:rsidRPr="001911CB">
        <w:rPr>
          <w:rFonts w:ascii="Arial" w:eastAsia="Times New Roman" w:hAnsi="Arial" w:cs="Arial"/>
          <w:color w:val="303030"/>
          <w:kern w:val="0"/>
          <w:sz w:val="24"/>
          <w:szCs w:val="24"/>
          <w:lang w:eastAsia="en-IN"/>
          <w14:ligatures w14:val="none"/>
        </w:rPr>
        <w:t>4</w:t>
      </w:r>
      <w:r w:rsidRPr="00713A67">
        <w:rPr>
          <w:rFonts w:ascii="Arial" w:eastAsia="Times New Roman" w:hAnsi="Arial" w:cs="Arial"/>
          <w:color w:val="303030"/>
          <w:kern w:val="0"/>
          <w:sz w:val="24"/>
          <w:szCs w:val="24"/>
          <w:lang w:eastAsia="en-IN"/>
          <w14:ligatures w14:val="none"/>
        </w:rPr>
        <w:t>, a one-month Futures contract on Nifty will expire on the last Thursday of July 202</w:t>
      </w:r>
      <w:r w:rsidRPr="001911CB">
        <w:rPr>
          <w:rFonts w:ascii="Arial" w:eastAsia="Times New Roman" w:hAnsi="Arial" w:cs="Arial"/>
          <w:color w:val="303030"/>
          <w:kern w:val="0"/>
          <w:sz w:val="24"/>
          <w:szCs w:val="24"/>
          <w:lang w:eastAsia="en-IN"/>
          <w14:ligatures w14:val="none"/>
        </w:rPr>
        <w:t>4</w:t>
      </w:r>
      <w:r w:rsidRPr="00713A67">
        <w:rPr>
          <w:rFonts w:ascii="Arial" w:eastAsia="Times New Roman" w:hAnsi="Arial" w:cs="Arial"/>
          <w:color w:val="303030"/>
          <w:kern w:val="0"/>
          <w:sz w:val="24"/>
          <w:szCs w:val="24"/>
          <w:lang w:eastAsia="en-IN"/>
          <w14:ligatures w14:val="none"/>
        </w:rPr>
        <w:t xml:space="preserve">. This Futures contract will cease to exist after July </w:t>
      </w:r>
      <w:r w:rsidRPr="001911CB">
        <w:rPr>
          <w:rFonts w:ascii="Arial" w:eastAsia="Times New Roman" w:hAnsi="Arial" w:cs="Arial"/>
          <w:color w:val="303030"/>
          <w:kern w:val="0"/>
          <w:sz w:val="24"/>
          <w:szCs w:val="24"/>
          <w:lang w:eastAsia="en-IN"/>
          <w14:ligatures w14:val="none"/>
        </w:rPr>
        <w:t>31</w:t>
      </w:r>
      <w:r w:rsidRPr="00713A67">
        <w:rPr>
          <w:rFonts w:ascii="Arial" w:eastAsia="Times New Roman" w:hAnsi="Arial" w:cs="Arial"/>
          <w:color w:val="303030"/>
          <w:kern w:val="0"/>
          <w:sz w:val="24"/>
          <w:szCs w:val="24"/>
          <w:lang w:eastAsia="en-IN"/>
          <w14:ligatures w14:val="none"/>
        </w:rPr>
        <w:t>, 202</w:t>
      </w:r>
      <w:r w:rsidRPr="001911CB">
        <w:rPr>
          <w:rFonts w:ascii="Arial" w:eastAsia="Times New Roman" w:hAnsi="Arial" w:cs="Arial"/>
          <w:color w:val="303030"/>
          <w:kern w:val="0"/>
          <w:sz w:val="24"/>
          <w:szCs w:val="24"/>
          <w:lang w:eastAsia="en-IN"/>
          <w14:ligatures w14:val="none"/>
        </w:rPr>
        <w:t>4</w:t>
      </w:r>
      <w:r w:rsidRPr="00713A67">
        <w:rPr>
          <w:rFonts w:ascii="Arial" w:eastAsia="Times New Roman" w:hAnsi="Arial" w:cs="Arial"/>
          <w:color w:val="303030"/>
          <w:kern w:val="0"/>
          <w:sz w:val="24"/>
          <w:szCs w:val="24"/>
          <w:lang w:eastAsia="en-IN"/>
          <w14:ligatures w14:val="none"/>
        </w:rPr>
        <w:t>.</w:t>
      </w:r>
    </w:p>
    <w:p w14:paraId="16879196" w14:textId="77777777" w:rsidR="00713A67" w:rsidRPr="00713A67" w:rsidRDefault="00713A67" w:rsidP="001911CB">
      <w:pPr>
        <w:shd w:val="clear" w:color="auto" w:fill="FFFFFF"/>
        <w:spacing w:after="225" w:line="480" w:lineRule="atLeast"/>
        <w:jc w:val="both"/>
        <w:textAlignment w:val="baseline"/>
        <w:outlineLvl w:val="1"/>
        <w:rPr>
          <w:rFonts w:ascii="Arial" w:eastAsia="Times New Roman" w:hAnsi="Arial" w:cs="Arial"/>
          <w:color w:val="802421"/>
          <w:kern w:val="0"/>
          <w:sz w:val="24"/>
          <w:szCs w:val="24"/>
          <w:lang w:eastAsia="en-IN"/>
          <w14:ligatures w14:val="none"/>
        </w:rPr>
      </w:pPr>
      <w:r w:rsidRPr="00713A67">
        <w:rPr>
          <w:rFonts w:ascii="Arial" w:eastAsia="Times New Roman" w:hAnsi="Arial" w:cs="Arial"/>
          <w:kern w:val="0"/>
          <w:sz w:val="24"/>
          <w:szCs w:val="24"/>
          <w:lang w:eastAsia="en-IN"/>
          <w14:ligatures w14:val="none"/>
        </w:rPr>
        <w:t>3.Trading cycle</w:t>
      </w:r>
      <w:r w:rsidRPr="00713A67">
        <w:rPr>
          <w:rFonts w:ascii="Arial" w:eastAsia="Times New Roman" w:hAnsi="Arial" w:cs="Arial"/>
          <w:color w:val="802421"/>
          <w:kern w:val="0"/>
          <w:sz w:val="24"/>
          <w:szCs w:val="24"/>
          <w:lang w:eastAsia="en-IN"/>
          <w14:ligatures w14:val="none"/>
        </w:rPr>
        <w:t> </w:t>
      </w:r>
    </w:p>
    <w:p w14:paraId="69E8E12F" w14:textId="77777777" w:rsidR="00713A67" w:rsidRPr="00713A67" w:rsidRDefault="00713A67" w:rsidP="001911CB">
      <w:pPr>
        <w:shd w:val="clear" w:color="auto" w:fill="FFFFFF"/>
        <w:spacing w:after="225"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A trading or contract cycle is the time duration for which a Futures contract trades on an exchange. In India, there are three Futures contracts available at a given time based on their expiry date. These are:</w:t>
      </w:r>
    </w:p>
    <w:p w14:paraId="2613C309" w14:textId="77777777" w:rsidR="00713A67" w:rsidRPr="00713A67" w:rsidRDefault="00713A67" w:rsidP="001911CB">
      <w:pPr>
        <w:numPr>
          <w:ilvl w:val="0"/>
          <w:numId w:val="5"/>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Near-month (one-month expiry) contracts</w:t>
      </w:r>
    </w:p>
    <w:p w14:paraId="5F2DE684" w14:textId="77777777" w:rsidR="00713A67" w:rsidRPr="00713A67" w:rsidRDefault="00713A67" w:rsidP="001911CB">
      <w:pPr>
        <w:numPr>
          <w:ilvl w:val="0"/>
          <w:numId w:val="5"/>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Next month (two-month expiry)</w:t>
      </w:r>
    </w:p>
    <w:p w14:paraId="7EF14345" w14:textId="77777777" w:rsidR="00713A67" w:rsidRPr="00713A67" w:rsidRDefault="00713A67" w:rsidP="001911CB">
      <w:pPr>
        <w:numPr>
          <w:ilvl w:val="0"/>
          <w:numId w:val="5"/>
        </w:numPr>
        <w:shd w:val="clear" w:color="auto" w:fill="FFFFFF"/>
        <w:spacing w:after="150"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Far month (3-month expiry)</w:t>
      </w:r>
    </w:p>
    <w:p w14:paraId="08AEAECC" w14:textId="2C5A6C4D" w:rsidR="00713A67" w:rsidRPr="001911CB" w:rsidRDefault="00713A67" w:rsidP="001911CB">
      <w:pPr>
        <w:shd w:val="clear" w:color="auto" w:fill="FFFFFF"/>
        <w:spacing w:after="225" w:line="360" w:lineRule="atLeast"/>
        <w:jc w:val="both"/>
        <w:textAlignment w:val="baseline"/>
        <w:rPr>
          <w:rFonts w:ascii="Arial" w:eastAsia="Times New Roman" w:hAnsi="Arial" w:cs="Arial"/>
          <w:color w:val="303030"/>
          <w:kern w:val="0"/>
          <w:sz w:val="24"/>
          <w:szCs w:val="24"/>
          <w:lang w:eastAsia="en-IN"/>
          <w14:ligatures w14:val="none"/>
        </w:rPr>
      </w:pPr>
      <w:r w:rsidRPr="00713A67">
        <w:rPr>
          <w:rFonts w:ascii="Arial" w:eastAsia="Times New Roman" w:hAnsi="Arial" w:cs="Arial"/>
          <w:color w:val="303030"/>
          <w:kern w:val="0"/>
          <w:sz w:val="24"/>
          <w:szCs w:val="24"/>
          <w:lang w:eastAsia="en-IN"/>
          <w14:ligatures w14:val="none"/>
        </w:rPr>
        <w:t>For example, on June 21, 202</w:t>
      </w:r>
      <w:r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the near-month, next month, and far month contracts are available for Jun 202</w:t>
      </w:r>
      <w:r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July 202</w:t>
      </w:r>
      <w:r w:rsidR="00CA3F05"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and August 202</w:t>
      </w:r>
      <w:r w:rsidR="00CA3F05"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xml:space="preserve"> respectively, where each contract will have expiry of the last Thursday of the respective month. A new monthly contract will be introduced after the expiry of a near-month contract. As per the above example, after the expiry of the June 202</w:t>
      </w:r>
      <w:r w:rsidR="00CA3F05"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xml:space="preserve"> contract on Ju</w:t>
      </w:r>
      <w:r w:rsidR="00CA3F05" w:rsidRPr="001911CB">
        <w:rPr>
          <w:rFonts w:ascii="Arial" w:eastAsia="Times New Roman" w:hAnsi="Arial" w:cs="Arial"/>
          <w:color w:val="303030"/>
          <w:kern w:val="0"/>
          <w:sz w:val="24"/>
          <w:szCs w:val="24"/>
          <w:lang w:eastAsia="en-IN"/>
          <w14:ligatures w14:val="none"/>
        </w:rPr>
        <w:t>ly</w:t>
      </w:r>
      <w:r w:rsidRPr="00713A67">
        <w:rPr>
          <w:rFonts w:ascii="Arial" w:eastAsia="Times New Roman" w:hAnsi="Arial" w:cs="Arial"/>
          <w:color w:val="303030"/>
          <w:kern w:val="0"/>
          <w:sz w:val="24"/>
          <w:szCs w:val="24"/>
          <w:lang w:eastAsia="en-IN"/>
          <w14:ligatures w14:val="none"/>
        </w:rPr>
        <w:t xml:space="preserve"> </w:t>
      </w:r>
      <w:r w:rsidR="00CA3F05" w:rsidRPr="001911CB">
        <w:rPr>
          <w:rFonts w:ascii="Arial" w:eastAsia="Times New Roman" w:hAnsi="Arial" w:cs="Arial"/>
          <w:color w:val="303030"/>
          <w:kern w:val="0"/>
          <w:sz w:val="24"/>
          <w:szCs w:val="24"/>
          <w:lang w:eastAsia="en-IN"/>
          <w14:ligatures w14:val="none"/>
        </w:rPr>
        <w:t>31</w:t>
      </w:r>
      <w:r w:rsidRPr="00713A67">
        <w:rPr>
          <w:rFonts w:ascii="Arial" w:eastAsia="Times New Roman" w:hAnsi="Arial" w:cs="Arial"/>
          <w:color w:val="303030"/>
          <w:kern w:val="0"/>
          <w:sz w:val="24"/>
          <w:szCs w:val="24"/>
          <w:lang w:eastAsia="en-IN"/>
          <w14:ligatures w14:val="none"/>
        </w:rPr>
        <w:t>, a new contract of September 202</w:t>
      </w:r>
      <w:r w:rsidR="00CA3F05"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 xml:space="preserve"> will be introduced in the market on June25, 202</w:t>
      </w:r>
      <w:r w:rsidR="00CA3F05" w:rsidRPr="001911CB">
        <w:rPr>
          <w:rFonts w:ascii="Arial" w:eastAsia="Times New Roman" w:hAnsi="Arial" w:cs="Arial"/>
          <w:color w:val="303030"/>
          <w:kern w:val="0"/>
          <w:sz w:val="24"/>
          <w:szCs w:val="24"/>
          <w:lang w:eastAsia="en-IN"/>
          <w14:ligatures w14:val="none"/>
        </w:rPr>
        <w:t>5</w:t>
      </w:r>
      <w:r w:rsidRPr="00713A67">
        <w:rPr>
          <w:rFonts w:ascii="Arial" w:eastAsia="Times New Roman" w:hAnsi="Arial" w:cs="Arial"/>
          <w:color w:val="303030"/>
          <w:kern w:val="0"/>
          <w:sz w:val="24"/>
          <w:szCs w:val="24"/>
          <w:lang w:eastAsia="en-IN"/>
          <w14:ligatures w14:val="none"/>
        </w:rPr>
        <w:t>.</w:t>
      </w:r>
    </w:p>
    <w:p w14:paraId="6B27A046" w14:textId="77777777" w:rsidR="00CA3F05" w:rsidRPr="001911CB" w:rsidRDefault="00CA3F05" w:rsidP="001911CB">
      <w:pPr>
        <w:pStyle w:val="Heading2"/>
        <w:shd w:val="clear" w:color="auto" w:fill="FFFFFF"/>
        <w:spacing w:before="0" w:beforeAutospacing="0" w:after="225" w:afterAutospacing="0" w:line="480" w:lineRule="atLeast"/>
        <w:jc w:val="both"/>
        <w:textAlignment w:val="baseline"/>
        <w:rPr>
          <w:rFonts w:ascii="Arial" w:hAnsi="Arial" w:cs="Arial"/>
          <w:b w:val="0"/>
          <w:bCs w:val="0"/>
          <w:sz w:val="24"/>
          <w:szCs w:val="24"/>
        </w:rPr>
      </w:pPr>
      <w:r w:rsidRPr="001911CB">
        <w:rPr>
          <w:rFonts w:ascii="Arial" w:hAnsi="Arial" w:cs="Arial"/>
          <w:b w:val="0"/>
          <w:bCs w:val="0"/>
          <w:sz w:val="24"/>
          <w:szCs w:val="24"/>
        </w:rPr>
        <w:t>4.Margin concept in Futures contract</w:t>
      </w:r>
    </w:p>
    <w:p w14:paraId="6A3C8295"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Futures contracts work on leverage or the idea of borrowing. Whenever you want to take a position, you </w:t>
      </w:r>
      <w:proofErr w:type="gramStart"/>
      <w:r w:rsidRPr="001911CB">
        <w:rPr>
          <w:rFonts w:ascii="Arial" w:hAnsi="Arial" w:cs="Arial"/>
          <w:color w:val="303030"/>
        </w:rPr>
        <w:t>don’t</w:t>
      </w:r>
      <w:proofErr w:type="gramEnd"/>
      <w:r w:rsidRPr="001911CB">
        <w:rPr>
          <w:rFonts w:ascii="Arial" w:hAnsi="Arial" w:cs="Arial"/>
          <w:color w:val="303030"/>
        </w:rPr>
        <w:t xml:space="preserve"> have to pay the full lot value. You only need to pay a certain percentage of the lot value to take a position in Futures contracts. </w:t>
      </w:r>
      <w:proofErr w:type="gramStart"/>
      <w:r w:rsidRPr="001911CB">
        <w:rPr>
          <w:rFonts w:ascii="Arial" w:hAnsi="Arial" w:cs="Arial"/>
          <w:color w:val="303030"/>
        </w:rPr>
        <w:t>Here’s</w:t>
      </w:r>
      <w:proofErr w:type="gramEnd"/>
      <w:r w:rsidRPr="001911CB">
        <w:rPr>
          <w:rFonts w:ascii="Arial" w:hAnsi="Arial" w:cs="Arial"/>
          <w:color w:val="303030"/>
        </w:rPr>
        <w:t xml:space="preserve"> what you need to know about margins:</w:t>
      </w:r>
    </w:p>
    <w:p w14:paraId="2E6A705C" w14:textId="77777777" w:rsidR="00CA3F05" w:rsidRPr="001911CB" w:rsidRDefault="00CA3F05" w:rsidP="001911CB">
      <w:pPr>
        <w:pStyle w:val="Heading3"/>
        <w:shd w:val="clear" w:color="auto" w:fill="FFFFFF"/>
        <w:spacing w:before="0" w:after="225" w:line="450" w:lineRule="atLeast"/>
        <w:jc w:val="both"/>
        <w:textAlignment w:val="baseline"/>
        <w:rPr>
          <w:rFonts w:ascii="Arial" w:hAnsi="Arial" w:cs="Arial"/>
          <w:color w:val="auto"/>
        </w:rPr>
      </w:pPr>
      <w:r w:rsidRPr="001911CB">
        <w:rPr>
          <w:rFonts w:ascii="Arial" w:hAnsi="Arial" w:cs="Arial"/>
          <w:color w:val="auto"/>
        </w:rPr>
        <w:t>Initial margin</w:t>
      </w:r>
    </w:p>
    <w:p w14:paraId="44655848"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The initial margin is the minimum amount of money that both buyers and sellers need at the time of getting into any Futures contract. Let us assume that on June 14, 2021, an individual buys a one-month Futures contract on Stock A, with a market price of Rs. 2,500 and contract size of 200 shares. The total value of the contract would be Rs. 5 lakhs (Rs. 2,500*200). If the initial margin is 15% of the contract value, then both parties </w:t>
      </w:r>
      <w:proofErr w:type="gramStart"/>
      <w:r w:rsidRPr="001911CB">
        <w:rPr>
          <w:rFonts w:ascii="Arial" w:hAnsi="Arial" w:cs="Arial"/>
          <w:color w:val="303030"/>
        </w:rPr>
        <w:t>have to</w:t>
      </w:r>
      <w:proofErr w:type="gramEnd"/>
      <w:r w:rsidRPr="001911CB">
        <w:rPr>
          <w:rFonts w:ascii="Arial" w:hAnsi="Arial" w:cs="Arial"/>
          <w:color w:val="303030"/>
        </w:rPr>
        <w:t xml:space="preserve"> deposit at least Rs. 75,000 with their respective brokers.</w:t>
      </w:r>
    </w:p>
    <w:p w14:paraId="7EF89A58" w14:textId="77777777" w:rsidR="00CA3F05" w:rsidRPr="001911CB" w:rsidRDefault="00CA3F05" w:rsidP="001911CB">
      <w:pPr>
        <w:numPr>
          <w:ilvl w:val="0"/>
          <w:numId w:val="6"/>
        </w:numPr>
        <w:shd w:val="clear" w:color="auto" w:fill="FFFFFF"/>
        <w:spacing w:after="150" w:line="360" w:lineRule="atLeast"/>
        <w:jc w:val="both"/>
        <w:textAlignment w:val="baseline"/>
        <w:rPr>
          <w:rFonts w:ascii="Arial" w:hAnsi="Arial" w:cs="Arial"/>
          <w:color w:val="303030"/>
          <w:sz w:val="24"/>
          <w:szCs w:val="24"/>
        </w:rPr>
      </w:pPr>
      <w:r w:rsidRPr="001911CB">
        <w:rPr>
          <w:rFonts w:ascii="Arial" w:hAnsi="Arial" w:cs="Arial"/>
          <w:color w:val="303030"/>
          <w:sz w:val="24"/>
          <w:szCs w:val="24"/>
        </w:rPr>
        <w:t>The initial margin is based upon the volatility in the price of the stock – higher volatility would lead to a higher initial margin on a Futures contract.</w:t>
      </w:r>
    </w:p>
    <w:p w14:paraId="22461A28" w14:textId="77777777" w:rsidR="00CA3F05" w:rsidRPr="001911CB" w:rsidRDefault="00CA3F05" w:rsidP="001911CB">
      <w:pPr>
        <w:numPr>
          <w:ilvl w:val="0"/>
          <w:numId w:val="6"/>
        </w:numPr>
        <w:shd w:val="clear" w:color="auto" w:fill="FFFFFF"/>
        <w:spacing w:after="150" w:line="360" w:lineRule="atLeast"/>
        <w:jc w:val="both"/>
        <w:textAlignment w:val="baseline"/>
        <w:rPr>
          <w:rFonts w:ascii="Arial" w:hAnsi="Arial" w:cs="Arial"/>
          <w:color w:val="303030"/>
          <w:sz w:val="24"/>
          <w:szCs w:val="24"/>
        </w:rPr>
      </w:pPr>
      <w:r w:rsidRPr="001911CB">
        <w:rPr>
          <w:rFonts w:ascii="Arial" w:hAnsi="Arial" w:cs="Arial"/>
          <w:color w:val="303030"/>
          <w:sz w:val="24"/>
          <w:szCs w:val="24"/>
        </w:rPr>
        <w:t>The exchange can increase or reduce the margin depending on volatility.</w:t>
      </w:r>
    </w:p>
    <w:p w14:paraId="7666317E" w14:textId="77777777" w:rsidR="00CA3F05" w:rsidRPr="001911CB" w:rsidRDefault="00CA3F05" w:rsidP="001911CB">
      <w:pPr>
        <w:numPr>
          <w:ilvl w:val="0"/>
          <w:numId w:val="6"/>
        </w:numPr>
        <w:shd w:val="clear" w:color="auto" w:fill="FFFFFF"/>
        <w:spacing w:after="150" w:line="360" w:lineRule="atLeast"/>
        <w:jc w:val="both"/>
        <w:textAlignment w:val="baseline"/>
        <w:rPr>
          <w:rFonts w:ascii="Arial" w:hAnsi="Arial" w:cs="Arial"/>
          <w:color w:val="303030"/>
          <w:sz w:val="24"/>
          <w:szCs w:val="24"/>
        </w:rPr>
      </w:pPr>
      <w:r w:rsidRPr="001911CB">
        <w:rPr>
          <w:rFonts w:ascii="Arial" w:hAnsi="Arial" w:cs="Arial"/>
          <w:color w:val="303030"/>
          <w:sz w:val="24"/>
          <w:szCs w:val="24"/>
        </w:rPr>
        <w:lastRenderedPageBreak/>
        <w:t>It may also change the margin in a contract between the contract period and the investor will need to comply with the new margin requirement.</w:t>
      </w:r>
    </w:p>
    <w:p w14:paraId="49859B1F" w14:textId="77777777" w:rsidR="00CA3F05" w:rsidRPr="001911CB" w:rsidRDefault="00CA3F05" w:rsidP="001911CB">
      <w:pPr>
        <w:pStyle w:val="Heading3"/>
        <w:shd w:val="clear" w:color="auto" w:fill="FFFFFF"/>
        <w:spacing w:before="0" w:after="225" w:line="450" w:lineRule="atLeast"/>
        <w:jc w:val="both"/>
        <w:textAlignment w:val="baseline"/>
        <w:rPr>
          <w:rFonts w:ascii="Arial" w:hAnsi="Arial" w:cs="Arial"/>
          <w:color w:val="auto"/>
        </w:rPr>
      </w:pPr>
      <w:r w:rsidRPr="001911CB">
        <w:rPr>
          <w:rFonts w:ascii="Arial" w:hAnsi="Arial" w:cs="Arial"/>
          <w:color w:val="auto"/>
        </w:rPr>
        <w:t>Maintenance margin</w:t>
      </w:r>
    </w:p>
    <w:p w14:paraId="259CC0EA"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Maintenance margin is the sum of money that </w:t>
      </w:r>
      <w:proofErr w:type="gramStart"/>
      <w:r w:rsidRPr="001911CB">
        <w:rPr>
          <w:rFonts w:ascii="Arial" w:hAnsi="Arial" w:cs="Arial"/>
          <w:color w:val="303030"/>
        </w:rPr>
        <w:t>has to</w:t>
      </w:r>
      <w:proofErr w:type="gramEnd"/>
      <w:r w:rsidRPr="001911CB">
        <w:rPr>
          <w:rFonts w:ascii="Arial" w:hAnsi="Arial" w:cs="Arial"/>
          <w:color w:val="303030"/>
        </w:rPr>
        <w:t xml:space="preserve"> be maintained by both buyer and seller in their margin accounts once trading has started. This amount or percentage is lesser than the initial margin.</w:t>
      </w:r>
    </w:p>
    <w:p w14:paraId="09A1A3E2"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From the previous example, the initial margin was 15% of the contract value. So, the maintenance margin could perhaps be 12%. This means that the buyer and seller </w:t>
      </w:r>
      <w:proofErr w:type="gramStart"/>
      <w:r w:rsidRPr="001911CB">
        <w:rPr>
          <w:rFonts w:ascii="Arial" w:hAnsi="Arial" w:cs="Arial"/>
          <w:color w:val="303030"/>
        </w:rPr>
        <w:t>have to</w:t>
      </w:r>
      <w:proofErr w:type="gramEnd"/>
      <w:r w:rsidRPr="001911CB">
        <w:rPr>
          <w:rFonts w:ascii="Arial" w:hAnsi="Arial" w:cs="Arial"/>
          <w:color w:val="303030"/>
        </w:rPr>
        <w:t xml:space="preserve"> have at least Rs. 60,000 (12% * 500,000) in their account at any point.</w:t>
      </w:r>
    </w:p>
    <w:p w14:paraId="1918C489"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As the contract begins, this margin amount may increase or decrease depending upon the value of the stock, but the balance cannot not fall below the maintenance margin level. If it does, then the buyer or the seller </w:t>
      </w:r>
      <w:proofErr w:type="gramStart"/>
      <w:r w:rsidRPr="001911CB">
        <w:rPr>
          <w:rFonts w:ascii="Arial" w:hAnsi="Arial" w:cs="Arial"/>
          <w:color w:val="303030"/>
        </w:rPr>
        <w:t>have to</w:t>
      </w:r>
      <w:proofErr w:type="gramEnd"/>
      <w:r w:rsidRPr="001911CB">
        <w:rPr>
          <w:rFonts w:ascii="Arial" w:hAnsi="Arial" w:cs="Arial"/>
          <w:color w:val="303030"/>
        </w:rPr>
        <w:t xml:space="preserve"> deposit the differential amount.</w:t>
      </w:r>
    </w:p>
    <w:p w14:paraId="66386E6B"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As you can see in the image below, the initial margin on the Nifty June Futures contract, at the price of Rs. 15,750 is Rs. 162,731.</w:t>
      </w:r>
    </w:p>
    <w:p w14:paraId="1DF0F6FC" w14:textId="628D7D2C"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noProof/>
          <w:color w:val="303030"/>
        </w:rPr>
        <w:drawing>
          <wp:inline distT="0" distB="0" distL="0" distR="0" wp14:anchorId="62156DF1" wp14:editId="3379CBD5">
            <wp:extent cx="5731510" cy="1713230"/>
            <wp:effectExtent l="0" t="0" r="2540" b="1270"/>
            <wp:docPr id="1122043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1713230"/>
                    </a:xfrm>
                    <a:prstGeom prst="rect">
                      <a:avLst/>
                    </a:prstGeom>
                    <a:noFill/>
                    <a:ln>
                      <a:noFill/>
                    </a:ln>
                  </pic:spPr>
                </pic:pic>
              </a:graphicData>
            </a:graphic>
          </wp:inline>
        </w:drawing>
      </w:r>
    </w:p>
    <w:p w14:paraId="403FDB8B" w14:textId="77777777" w:rsidR="00CA3F05" w:rsidRPr="001911CB" w:rsidRDefault="00CA3F05" w:rsidP="001911CB">
      <w:pPr>
        <w:pStyle w:val="Heading2"/>
        <w:shd w:val="clear" w:color="auto" w:fill="FFFFFF"/>
        <w:spacing w:before="0" w:beforeAutospacing="0" w:after="225" w:afterAutospacing="0" w:line="480" w:lineRule="atLeast"/>
        <w:jc w:val="both"/>
        <w:textAlignment w:val="baseline"/>
        <w:rPr>
          <w:rFonts w:ascii="Arial" w:hAnsi="Arial" w:cs="Arial"/>
          <w:b w:val="0"/>
          <w:bCs w:val="0"/>
          <w:sz w:val="24"/>
          <w:szCs w:val="24"/>
        </w:rPr>
      </w:pPr>
      <w:r w:rsidRPr="001911CB">
        <w:rPr>
          <w:rFonts w:ascii="Arial" w:hAnsi="Arial" w:cs="Arial"/>
          <w:b w:val="0"/>
          <w:bCs w:val="0"/>
          <w:sz w:val="24"/>
          <w:szCs w:val="24"/>
        </w:rPr>
        <w:t>5.Mark-to-market (MTM) profit/loss</w:t>
      </w:r>
    </w:p>
    <w:p w14:paraId="6CD62D99"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Mark-to-market (MTM) is valuing assets according to their most recent market price. An important feature of Futures contracts is that gains and losses are settled on each trading day. This means that the value of the contract is marked to its current market value. The exchange, with the help of brokers and clearing houses, collects this MTM margin from the party making a loss and pays the same to other party making a gain.</w:t>
      </w:r>
    </w:p>
    <w:p w14:paraId="6FA03912" w14:textId="77777777" w:rsidR="00CA3F05" w:rsidRPr="001911CB" w:rsidRDefault="00CA3F05" w:rsidP="001911CB">
      <w:pPr>
        <w:pStyle w:val="NormalWeb"/>
        <w:shd w:val="clear" w:color="auto" w:fill="FFFFFF"/>
        <w:spacing w:before="0" w:beforeAutospacing="0" w:after="225" w:afterAutospacing="0" w:line="360" w:lineRule="atLeast"/>
        <w:jc w:val="both"/>
        <w:textAlignment w:val="baseline"/>
        <w:rPr>
          <w:rFonts w:ascii="Arial" w:hAnsi="Arial" w:cs="Arial"/>
          <w:color w:val="303030"/>
        </w:rPr>
      </w:pPr>
      <w:r w:rsidRPr="001911CB">
        <w:rPr>
          <w:rFonts w:ascii="Arial" w:hAnsi="Arial" w:cs="Arial"/>
          <w:color w:val="303030"/>
        </w:rPr>
        <w:t xml:space="preserve">For example, if an investor buys one lot of ‘Stock A’ Futures of 200 shares on July 6, 2020 at a price of Rs. 2,500, he is required to deposit a margin of 15% of the lot value i.e. 15%*200*2500 = Rs. 75,000. On July 7, the next trading day, if the price of Futures closes at Rs. 2,530, then the investor has made a gain of Rs. 6,000 (Rs. 30*200). This </w:t>
      </w:r>
      <w:r w:rsidRPr="001911CB">
        <w:rPr>
          <w:rFonts w:ascii="Arial" w:hAnsi="Arial" w:cs="Arial"/>
          <w:color w:val="303030"/>
        </w:rPr>
        <w:lastRenderedPageBreak/>
        <w:t>gain will be credited to his account and debited from the account of the seller on account of MTM settlement. The position will start from Rs. 2,530 on the next day.</w:t>
      </w:r>
    </w:p>
    <w:p w14:paraId="61289CC7" w14:textId="7A113943" w:rsidR="00713A67" w:rsidRDefault="002B08BC" w:rsidP="002B08BC">
      <w:pPr>
        <w:shd w:val="clear" w:color="auto" w:fill="FFFFFF"/>
        <w:spacing w:after="150" w:line="360" w:lineRule="atLeast"/>
        <w:ind w:left="1440" w:firstLine="720"/>
        <w:textAlignment w:val="baseline"/>
        <w:rPr>
          <w:rFonts w:ascii="Poppins" w:eastAsia="Times New Roman" w:hAnsi="Poppins" w:cs="Poppins"/>
          <w:color w:val="303030"/>
          <w:kern w:val="0"/>
          <w:sz w:val="24"/>
          <w:szCs w:val="24"/>
          <w:lang w:eastAsia="en-IN"/>
          <w14:ligatures w14:val="none"/>
        </w:rPr>
      </w:pPr>
      <w:r>
        <w:rPr>
          <w:rFonts w:ascii="Poppins" w:eastAsia="Times New Roman" w:hAnsi="Poppins" w:cs="Poppins"/>
          <w:color w:val="303030"/>
          <w:kern w:val="0"/>
          <w:sz w:val="24"/>
          <w:szCs w:val="24"/>
          <w:lang w:eastAsia="en-IN"/>
          <w14:ligatures w14:val="none"/>
        </w:rPr>
        <w:t>Concept of Convergence</w:t>
      </w:r>
    </w:p>
    <w:p w14:paraId="7A9A5E72" w14:textId="77777777" w:rsidR="002B08BC" w:rsidRPr="002C7C4E" w:rsidRDefault="002B08BC" w:rsidP="002B08BC">
      <w:pPr>
        <w:pStyle w:val="term-definition"/>
        <w:shd w:val="clear" w:color="auto" w:fill="FFFFFF"/>
        <w:spacing w:before="0" w:beforeAutospacing="0" w:after="0" w:afterAutospacing="0"/>
        <w:textAlignment w:val="baseline"/>
        <w:rPr>
          <w:rFonts w:ascii="Arial" w:hAnsi="Arial" w:cs="Arial"/>
          <w:spacing w:val="-5"/>
        </w:rPr>
      </w:pPr>
      <w:r w:rsidRPr="002C7C4E">
        <w:rPr>
          <w:rFonts w:ascii="Arial" w:hAnsi="Arial" w:cs="Arial"/>
          <w:spacing w:val="-5"/>
        </w:rPr>
        <w:t>The movement of the price of a </w:t>
      </w:r>
      <w:hyperlink r:id="rId7" w:history="1">
        <w:r w:rsidRPr="002C7C4E">
          <w:rPr>
            <w:rStyle w:val="Hyperlink"/>
            <w:rFonts w:ascii="Arial" w:hAnsi="Arial" w:cs="Arial"/>
            <w:color w:val="auto"/>
            <w:spacing w:val="-5"/>
            <w:u w:val="none"/>
            <w:bdr w:val="none" w:sz="0" w:space="0" w:color="auto" w:frame="1"/>
          </w:rPr>
          <w:t>futures contract</w:t>
        </w:r>
      </w:hyperlink>
      <w:r w:rsidRPr="002C7C4E">
        <w:rPr>
          <w:rFonts w:ascii="Arial" w:hAnsi="Arial" w:cs="Arial"/>
          <w:spacing w:val="-5"/>
        </w:rPr>
        <w:t> toward the price of the </w:t>
      </w:r>
      <w:hyperlink r:id="rId8" w:history="1">
        <w:r w:rsidRPr="002C7C4E">
          <w:rPr>
            <w:rStyle w:val="Hyperlink"/>
            <w:rFonts w:ascii="Arial" w:hAnsi="Arial" w:cs="Arial"/>
            <w:color w:val="auto"/>
            <w:spacing w:val="-5"/>
            <w:u w:val="none"/>
            <w:bdr w:val="none" w:sz="0" w:space="0" w:color="auto" w:frame="1"/>
          </w:rPr>
          <w:t>underlying</w:t>
        </w:r>
      </w:hyperlink>
      <w:r w:rsidRPr="002C7C4E">
        <w:rPr>
          <w:rFonts w:ascii="Arial" w:hAnsi="Arial" w:cs="Arial"/>
          <w:spacing w:val="-5"/>
        </w:rPr>
        <w:t> </w:t>
      </w:r>
      <w:hyperlink r:id="rId9" w:history="1">
        <w:r w:rsidRPr="002C7C4E">
          <w:rPr>
            <w:rStyle w:val="Hyperlink"/>
            <w:rFonts w:ascii="Arial" w:hAnsi="Arial" w:cs="Arial"/>
            <w:color w:val="auto"/>
            <w:spacing w:val="-5"/>
            <w:u w:val="none"/>
            <w:bdr w:val="none" w:sz="0" w:space="0" w:color="auto" w:frame="1"/>
          </w:rPr>
          <w:t>cash commodity</w:t>
        </w:r>
      </w:hyperlink>
      <w:r w:rsidRPr="002C7C4E">
        <w:rPr>
          <w:rFonts w:ascii="Arial" w:hAnsi="Arial" w:cs="Arial"/>
          <w:spacing w:val="-5"/>
        </w:rPr>
        <w:t>. At the start, the </w:t>
      </w:r>
      <w:hyperlink r:id="rId10" w:history="1">
        <w:r w:rsidRPr="002C7C4E">
          <w:rPr>
            <w:rStyle w:val="Hyperlink"/>
            <w:rFonts w:ascii="Arial" w:hAnsi="Arial" w:cs="Arial"/>
            <w:color w:val="auto"/>
            <w:spacing w:val="-5"/>
            <w:u w:val="none"/>
            <w:bdr w:val="none" w:sz="0" w:space="0" w:color="auto" w:frame="1"/>
          </w:rPr>
          <w:t>contract</w:t>
        </w:r>
      </w:hyperlink>
      <w:r w:rsidRPr="002C7C4E">
        <w:rPr>
          <w:rFonts w:ascii="Arial" w:hAnsi="Arial" w:cs="Arial"/>
          <w:spacing w:val="-5"/>
        </w:rPr>
        <w:t> price is usually higher because of </w:t>
      </w:r>
      <w:hyperlink r:id="rId11" w:history="1">
        <w:r w:rsidRPr="002C7C4E">
          <w:rPr>
            <w:rStyle w:val="Hyperlink"/>
            <w:rFonts w:ascii="Arial" w:hAnsi="Arial" w:cs="Arial"/>
            <w:color w:val="auto"/>
            <w:spacing w:val="-5"/>
            <w:u w:val="none"/>
            <w:bdr w:val="none" w:sz="0" w:space="0" w:color="auto" w:frame="1"/>
          </w:rPr>
          <w:t>time value</w:t>
        </w:r>
      </w:hyperlink>
      <w:r w:rsidRPr="002C7C4E">
        <w:rPr>
          <w:rFonts w:ascii="Arial" w:hAnsi="Arial" w:cs="Arial"/>
          <w:spacing w:val="-5"/>
        </w:rPr>
        <w:t>. But as the contract nears </w:t>
      </w:r>
      <w:hyperlink r:id="rId12" w:history="1">
        <w:r w:rsidRPr="002C7C4E">
          <w:rPr>
            <w:rStyle w:val="Hyperlink"/>
            <w:rFonts w:ascii="Arial" w:hAnsi="Arial" w:cs="Arial"/>
            <w:color w:val="auto"/>
            <w:spacing w:val="-5"/>
            <w:u w:val="none"/>
            <w:bdr w:val="none" w:sz="0" w:space="0" w:color="auto" w:frame="1"/>
          </w:rPr>
          <w:t>expiration</w:t>
        </w:r>
      </w:hyperlink>
      <w:r w:rsidRPr="002C7C4E">
        <w:rPr>
          <w:rFonts w:ascii="Arial" w:hAnsi="Arial" w:cs="Arial"/>
          <w:spacing w:val="-5"/>
        </w:rPr>
        <w:t>, and time value decreases, the </w:t>
      </w:r>
      <w:hyperlink r:id="rId13" w:history="1">
        <w:r w:rsidRPr="002C7C4E">
          <w:rPr>
            <w:rStyle w:val="Hyperlink"/>
            <w:rFonts w:ascii="Arial" w:hAnsi="Arial" w:cs="Arial"/>
            <w:color w:val="auto"/>
            <w:spacing w:val="-5"/>
            <w:u w:val="none"/>
            <w:bdr w:val="none" w:sz="0" w:space="0" w:color="auto" w:frame="1"/>
          </w:rPr>
          <w:t>futures</w:t>
        </w:r>
      </w:hyperlink>
      <w:r w:rsidRPr="002C7C4E">
        <w:rPr>
          <w:rFonts w:ascii="Arial" w:hAnsi="Arial" w:cs="Arial"/>
          <w:spacing w:val="-5"/>
        </w:rPr>
        <w:t> price and the </w:t>
      </w:r>
      <w:hyperlink r:id="rId14" w:history="1">
        <w:r w:rsidRPr="002C7C4E">
          <w:rPr>
            <w:rStyle w:val="Hyperlink"/>
            <w:rFonts w:ascii="Arial" w:hAnsi="Arial" w:cs="Arial"/>
            <w:color w:val="auto"/>
            <w:spacing w:val="-5"/>
            <w:u w:val="none"/>
            <w:bdr w:val="none" w:sz="0" w:space="0" w:color="auto" w:frame="1"/>
          </w:rPr>
          <w:t>cash</w:t>
        </w:r>
      </w:hyperlink>
      <w:r w:rsidRPr="002C7C4E">
        <w:rPr>
          <w:rFonts w:ascii="Arial" w:hAnsi="Arial" w:cs="Arial"/>
          <w:spacing w:val="-5"/>
        </w:rPr>
        <w:t> price converge. More generally, convergence trading involves taking two related assets that have different prices with the expectation that prices will converge (the cheaper asset is purchased and the more expensive is sold short).</w:t>
      </w:r>
    </w:p>
    <w:p w14:paraId="534C8ADA" w14:textId="77777777" w:rsidR="002C7C4E" w:rsidRDefault="002C7C4E" w:rsidP="00713A67">
      <w:pPr>
        <w:rPr>
          <w:rFonts w:ascii="Arial" w:hAnsi="Arial" w:cs="Arial"/>
          <w:spacing w:val="1"/>
          <w:sz w:val="24"/>
          <w:szCs w:val="24"/>
          <w:shd w:val="clear" w:color="auto" w:fill="FFFFFF"/>
        </w:rPr>
      </w:pPr>
    </w:p>
    <w:p w14:paraId="20A875D4" w14:textId="57578314" w:rsidR="007F1E97" w:rsidRPr="002C7C4E" w:rsidRDefault="002C7C4E" w:rsidP="00713A67">
      <w:pPr>
        <w:rPr>
          <w:rFonts w:ascii="Arial" w:hAnsi="Arial" w:cs="Arial"/>
          <w:spacing w:val="1"/>
          <w:sz w:val="24"/>
          <w:szCs w:val="24"/>
          <w:shd w:val="clear" w:color="auto" w:fill="FFFFFF"/>
        </w:rPr>
      </w:pPr>
      <w:r w:rsidRPr="002C7C4E">
        <w:rPr>
          <w:rFonts w:ascii="Arial" w:hAnsi="Arial" w:cs="Arial"/>
          <w:spacing w:val="1"/>
          <w:sz w:val="24"/>
          <w:szCs w:val="24"/>
          <w:shd w:val="clear" w:color="auto" w:fill="FFFFFF"/>
        </w:rPr>
        <w:t xml:space="preserve">Convergence simply means that, on the last day that a futures contract can be delivered to </w:t>
      </w:r>
      <w:proofErr w:type="spellStart"/>
      <w:r w:rsidRPr="002C7C4E">
        <w:rPr>
          <w:rFonts w:ascii="Arial" w:hAnsi="Arial" w:cs="Arial"/>
          <w:spacing w:val="1"/>
          <w:sz w:val="24"/>
          <w:szCs w:val="24"/>
          <w:shd w:val="clear" w:color="auto" w:fill="FFFFFF"/>
        </w:rPr>
        <w:t>fulfill</w:t>
      </w:r>
      <w:proofErr w:type="spellEnd"/>
      <w:r w:rsidRPr="002C7C4E">
        <w:rPr>
          <w:rFonts w:ascii="Arial" w:hAnsi="Arial" w:cs="Arial"/>
          <w:spacing w:val="1"/>
          <w:sz w:val="24"/>
          <w:szCs w:val="24"/>
          <w:shd w:val="clear" w:color="auto" w:fill="FFFFFF"/>
        </w:rPr>
        <w:t xml:space="preserve"> the terms of the contract, the price of the futures and the price of the underlying commodity will be equal. The two prices must converge. If not, there is an opportunity for arbitrage and risk-free profit. Convergence happens because the market will not allow the same commodity to trade at two different prices at the same place at the same time.</w:t>
      </w:r>
    </w:p>
    <w:p w14:paraId="0D486C4E" w14:textId="00E32A1D" w:rsidR="002C7C4E" w:rsidRPr="002C7C4E" w:rsidRDefault="002C7C4E" w:rsidP="002C7C4E">
      <w:pPr>
        <w:spacing w:after="100" w:afterAutospacing="1" w:line="240" w:lineRule="auto"/>
        <w:rPr>
          <w:rFonts w:ascii="Arial" w:eastAsia="Times New Roman" w:hAnsi="Arial" w:cs="Arial"/>
          <w:kern w:val="0"/>
          <w:sz w:val="24"/>
          <w:szCs w:val="24"/>
          <w:lang w:eastAsia="en-IN"/>
          <w14:ligatures w14:val="none"/>
        </w:rPr>
      </w:pPr>
      <w:r w:rsidRPr="002C7C4E">
        <w:rPr>
          <w:rFonts w:ascii="Arial" w:eastAsia="Times New Roman" w:hAnsi="Arial" w:cs="Arial"/>
          <w:kern w:val="0"/>
          <w:sz w:val="24"/>
          <w:szCs w:val="24"/>
          <w:lang w:eastAsia="en-IN"/>
          <w14:ligatures w14:val="none"/>
        </w:rPr>
        <w:t>If a futures contract's delivery date is several months or years in the future, the contract will often trade at a premium to the expected spot price of the underlying commodity on the </w:t>
      </w:r>
      <w:hyperlink r:id="rId15" w:history="1">
        <w:r w:rsidRPr="002C7C4E">
          <w:rPr>
            <w:rFonts w:ascii="Arial" w:eastAsia="Times New Roman" w:hAnsi="Arial" w:cs="Arial"/>
            <w:kern w:val="0"/>
            <w:sz w:val="24"/>
            <w:szCs w:val="24"/>
            <w:lang w:eastAsia="en-IN"/>
            <w14:ligatures w14:val="none"/>
          </w:rPr>
          <w:t>delivery date</w:t>
        </w:r>
      </w:hyperlink>
      <w:r w:rsidRPr="002C7C4E">
        <w:rPr>
          <w:rFonts w:ascii="Arial" w:eastAsia="Times New Roman" w:hAnsi="Arial" w:cs="Arial"/>
          <w:kern w:val="0"/>
          <w:sz w:val="24"/>
          <w:szCs w:val="24"/>
          <w:lang w:eastAsia="en-IN"/>
          <w14:ligatures w14:val="none"/>
        </w:rPr>
        <w:t>. This situation is known as </w:t>
      </w:r>
      <w:hyperlink r:id="rId16" w:history="1">
        <w:r w:rsidRPr="002C7C4E">
          <w:rPr>
            <w:rFonts w:ascii="Arial" w:eastAsia="Times New Roman" w:hAnsi="Arial" w:cs="Arial"/>
            <w:b/>
            <w:bCs/>
            <w:kern w:val="0"/>
            <w:sz w:val="24"/>
            <w:szCs w:val="24"/>
            <w:lang w:eastAsia="en-IN"/>
            <w14:ligatures w14:val="none"/>
          </w:rPr>
          <w:t>contango</w:t>
        </w:r>
      </w:hyperlink>
      <w:r w:rsidRPr="002C7C4E">
        <w:rPr>
          <w:rFonts w:ascii="Arial" w:eastAsia="Times New Roman" w:hAnsi="Arial" w:cs="Arial"/>
          <w:kern w:val="0"/>
          <w:sz w:val="24"/>
          <w:szCs w:val="24"/>
          <w:lang w:eastAsia="en-IN"/>
          <w14:ligatures w14:val="none"/>
        </w:rPr>
        <w:t> or </w:t>
      </w:r>
      <w:proofErr w:type="spellStart"/>
      <w:r>
        <w:fldChar w:fldCharType="begin"/>
      </w:r>
      <w:r>
        <w:instrText>HYPERLINK "https://www.investopedia.com/terms/f/forwardation.asp"</w:instrText>
      </w:r>
      <w:r>
        <w:fldChar w:fldCharType="separate"/>
      </w:r>
      <w:r w:rsidRPr="002C7C4E">
        <w:rPr>
          <w:rFonts w:ascii="Arial" w:eastAsia="Times New Roman" w:hAnsi="Arial" w:cs="Arial"/>
          <w:b/>
          <w:bCs/>
          <w:kern w:val="0"/>
          <w:sz w:val="24"/>
          <w:szCs w:val="24"/>
          <w:lang w:eastAsia="en-IN"/>
          <w14:ligatures w14:val="none"/>
        </w:rPr>
        <w:t>forwardation</w:t>
      </w:r>
      <w:proofErr w:type="spellEnd"/>
      <w:r>
        <w:rPr>
          <w:rFonts w:ascii="Arial" w:eastAsia="Times New Roman" w:hAnsi="Arial" w:cs="Arial"/>
          <w:b/>
          <w:bCs/>
          <w:kern w:val="0"/>
          <w:sz w:val="24"/>
          <w:szCs w:val="24"/>
          <w:lang w:eastAsia="en-IN"/>
          <w14:ligatures w14:val="none"/>
        </w:rPr>
        <w:fldChar w:fldCharType="end"/>
      </w:r>
      <w:r w:rsidRPr="002C7C4E">
        <w:rPr>
          <w:rFonts w:ascii="Arial" w:eastAsia="Times New Roman" w:hAnsi="Arial" w:cs="Arial"/>
          <w:kern w:val="0"/>
          <w:sz w:val="24"/>
          <w:szCs w:val="24"/>
          <w:lang w:eastAsia="en-IN"/>
          <w14:ligatures w14:val="none"/>
        </w:rPr>
        <w:t>​.</w:t>
      </w:r>
      <w:r w:rsidR="00C03770">
        <w:rPr>
          <w:rFonts w:ascii="Arial" w:eastAsia="Times New Roman" w:hAnsi="Arial" w:cs="Arial"/>
          <w:kern w:val="0"/>
          <w:sz w:val="24"/>
          <w:szCs w:val="24"/>
          <w:lang w:eastAsia="en-IN"/>
          <w14:ligatures w14:val="none"/>
        </w:rPr>
        <w:t xml:space="preserve"> </w:t>
      </w:r>
      <w:r w:rsidR="00C03770" w:rsidRPr="00C03770">
        <w:rPr>
          <w:rFonts w:ascii="Arial" w:hAnsi="Arial" w:cs="Arial"/>
          <w:color w:val="374151"/>
          <w:sz w:val="24"/>
          <w:szCs w:val="24"/>
          <w:shd w:val="clear" w:color="auto" w:fill="FFFFFF"/>
        </w:rPr>
        <w:t>Contango is quite common for non-perishable goods with significant storage costs.</w:t>
      </w:r>
    </w:p>
    <w:p w14:paraId="2E6FA3A2" w14:textId="77777777" w:rsidR="002C7C4E" w:rsidRPr="002C7C4E" w:rsidRDefault="002C7C4E" w:rsidP="002C7C4E">
      <w:pPr>
        <w:spacing w:after="100" w:afterAutospacing="1" w:line="240" w:lineRule="auto"/>
        <w:rPr>
          <w:rFonts w:ascii="Arial" w:eastAsia="Times New Roman" w:hAnsi="Arial" w:cs="Arial"/>
          <w:kern w:val="0"/>
          <w:sz w:val="24"/>
          <w:szCs w:val="24"/>
          <w:lang w:eastAsia="en-IN"/>
          <w14:ligatures w14:val="none"/>
        </w:rPr>
      </w:pPr>
      <w:r w:rsidRPr="002C7C4E">
        <w:rPr>
          <w:rFonts w:ascii="Arial" w:eastAsia="Times New Roman" w:hAnsi="Arial" w:cs="Arial"/>
          <w:kern w:val="0"/>
          <w:sz w:val="24"/>
          <w:szCs w:val="24"/>
          <w:lang w:eastAsia="en-IN"/>
          <w14:ligatures w14:val="none"/>
        </w:rPr>
        <w:t>As the delivery date approaches, the futures contract will depreciate in price (or the underlying commodity must increase in price), and in theory, the two prices will be equal on the delivery date. If not, then traders could make a risk-free profit by exploiting the difference in prices.</w:t>
      </w:r>
    </w:p>
    <w:p w14:paraId="6DB23FDE" w14:textId="17DCD394" w:rsidR="004C31C7" w:rsidRDefault="002C7C4E" w:rsidP="002C7C4E">
      <w:pPr>
        <w:rPr>
          <w:rFonts w:ascii="Arial" w:hAnsi="Arial" w:cs="Arial"/>
          <w:sz w:val="24"/>
          <w:szCs w:val="40"/>
        </w:rPr>
      </w:pPr>
      <w:r w:rsidRPr="002C7C4E">
        <w:rPr>
          <w:rFonts w:ascii="Arial" w:eastAsia="Times New Roman" w:hAnsi="Arial" w:cs="Arial"/>
          <w:spacing w:val="1"/>
          <w:kern w:val="0"/>
          <w:sz w:val="24"/>
          <w:szCs w:val="24"/>
          <w:shd w:val="clear" w:color="auto" w:fill="FFFFFF"/>
          <w:lang w:eastAsia="en-IN"/>
          <w14:ligatures w14:val="none"/>
        </w:rPr>
        <w:t>The principle of convergence also applies when a commodity futures market is in </w:t>
      </w:r>
      <w:hyperlink r:id="rId17" w:history="1">
        <w:r w:rsidRPr="002C7C4E">
          <w:rPr>
            <w:rFonts w:ascii="Arial" w:eastAsia="Times New Roman" w:hAnsi="Arial" w:cs="Arial"/>
            <w:b/>
            <w:bCs/>
            <w:spacing w:val="1"/>
            <w:kern w:val="0"/>
            <w:sz w:val="24"/>
            <w:szCs w:val="24"/>
            <w:shd w:val="clear" w:color="auto" w:fill="FFFFFF"/>
            <w:lang w:eastAsia="en-IN"/>
            <w14:ligatures w14:val="none"/>
          </w:rPr>
          <w:t>backwardation</w:t>
        </w:r>
      </w:hyperlink>
      <w:r w:rsidRPr="002C7C4E">
        <w:rPr>
          <w:rFonts w:ascii="Arial" w:eastAsia="Times New Roman" w:hAnsi="Arial" w:cs="Arial"/>
          <w:spacing w:val="1"/>
          <w:kern w:val="0"/>
          <w:sz w:val="24"/>
          <w:szCs w:val="24"/>
          <w:shd w:val="clear" w:color="auto" w:fill="FFFFFF"/>
          <w:lang w:eastAsia="en-IN"/>
          <w14:ligatures w14:val="none"/>
        </w:rPr>
        <w:t>, which happens when futures contracts are trading at a discount to the expected spot price. In this case, futures prices will appreciate (or the price of the commodity falls) as expiration approaches, until the prices are nearly equal on the delivery date. If not, traders could make a risk-free profit by exploiting any price difference via arbitrage transactions.</w:t>
      </w:r>
      <w:r w:rsidRPr="002C7C4E">
        <w:rPr>
          <w:rFonts w:ascii="Arial" w:eastAsia="Times New Roman" w:hAnsi="Arial" w:cs="Arial"/>
          <w:color w:val="0000EE"/>
          <w:spacing w:val="17"/>
          <w:kern w:val="0"/>
          <w:sz w:val="24"/>
          <w:szCs w:val="24"/>
          <w:shd w:val="clear" w:color="auto" w:fill="FFFFFF"/>
          <w:lang w:eastAsia="en-IN"/>
          <w14:ligatures w14:val="none"/>
        </w:rPr>
        <w:br/>
      </w:r>
      <w:r w:rsidR="00D8098D">
        <w:rPr>
          <w:rFonts w:ascii="Arial" w:hAnsi="Arial" w:cs="Arial"/>
          <w:sz w:val="24"/>
          <w:szCs w:val="40"/>
        </w:rPr>
        <w:t xml:space="preserve">The main reason of convergence is to remove arbitration opportunities. </w:t>
      </w:r>
    </w:p>
    <w:p w14:paraId="70348E6F" w14:textId="5D1E0ED7" w:rsidR="00C03770" w:rsidRDefault="00C03770" w:rsidP="00C03770">
      <w:pPr>
        <w:ind w:firstLine="720"/>
        <w:rPr>
          <w:rFonts w:ascii="Arial" w:hAnsi="Arial" w:cs="Arial"/>
          <w:sz w:val="24"/>
          <w:szCs w:val="40"/>
        </w:rPr>
      </w:pPr>
      <w:r>
        <w:rPr>
          <w:rFonts w:ascii="Arial" w:hAnsi="Arial" w:cs="Arial"/>
          <w:sz w:val="24"/>
          <w:szCs w:val="40"/>
        </w:rPr>
        <w:t>Relationship between futures price and expected spot prices</w:t>
      </w:r>
    </w:p>
    <w:p w14:paraId="6DBCB5C7" w14:textId="58D04306" w:rsidR="00C03770" w:rsidRPr="00252AA5" w:rsidRDefault="00252AA5" w:rsidP="00252AA5">
      <w:pPr>
        <w:jc w:val="both"/>
        <w:rPr>
          <w:rFonts w:ascii="Arial" w:hAnsi="Arial" w:cs="Arial"/>
          <w:sz w:val="24"/>
          <w:szCs w:val="24"/>
          <w:shd w:val="clear" w:color="auto" w:fill="FFFFFF"/>
        </w:rPr>
      </w:pPr>
      <w:r w:rsidRPr="00252AA5">
        <w:rPr>
          <w:rFonts w:ascii="Arial" w:hAnsi="Arial" w:cs="Arial"/>
          <w:sz w:val="24"/>
          <w:szCs w:val="24"/>
          <w:shd w:val="clear" w:color="auto" w:fill="FFFFFF"/>
        </w:rPr>
        <w:t>The spot price is the current market price of a </w:t>
      </w:r>
      <w:hyperlink r:id="rId18" w:history="1">
        <w:r w:rsidRPr="00252AA5">
          <w:rPr>
            <w:rStyle w:val="Hyperlink"/>
            <w:rFonts w:ascii="Arial" w:hAnsi="Arial" w:cs="Arial"/>
            <w:color w:val="auto"/>
            <w:sz w:val="24"/>
            <w:szCs w:val="24"/>
            <w:u w:val="none"/>
            <w:shd w:val="clear" w:color="auto" w:fill="FFFFFF"/>
          </w:rPr>
          <w:t>security</w:t>
        </w:r>
      </w:hyperlink>
      <w:r w:rsidRPr="00252AA5">
        <w:rPr>
          <w:rFonts w:ascii="Arial" w:hAnsi="Arial" w:cs="Arial"/>
          <w:sz w:val="24"/>
          <w:szCs w:val="24"/>
          <w:shd w:val="clear" w:color="auto" w:fill="FFFFFF"/>
        </w:rPr>
        <w:t>, currency, or commodity available to be bought/sold for immediate settlement. In other words, it is the price at which the sellers and buyers value an asset right now.</w:t>
      </w:r>
    </w:p>
    <w:p w14:paraId="7F7E548C" w14:textId="60DBAF63" w:rsidR="00252AA5" w:rsidRPr="00252AA5" w:rsidRDefault="00252AA5" w:rsidP="00252AA5">
      <w:pPr>
        <w:jc w:val="both"/>
        <w:rPr>
          <w:rFonts w:ascii="Arial" w:hAnsi="Arial" w:cs="Arial"/>
          <w:sz w:val="24"/>
          <w:szCs w:val="24"/>
          <w:shd w:val="clear" w:color="auto" w:fill="FFFFFF"/>
        </w:rPr>
      </w:pPr>
      <w:r w:rsidRPr="00252AA5">
        <w:rPr>
          <w:rFonts w:ascii="Arial" w:hAnsi="Arial" w:cs="Arial"/>
          <w:sz w:val="24"/>
          <w:szCs w:val="24"/>
          <w:shd w:val="clear" w:color="auto" w:fill="FFFFFF"/>
        </w:rPr>
        <w:t xml:space="preserve">Although spot prices can vary by time and geographic regions, the prices are </w:t>
      </w:r>
      <w:proofErr w:type="gramStart"/>
      <w:r w:rsidRPr="00252AA5">
        <w:rPr>
          <w:rFonts w:ascii="Arial" w:hAnsi="Arial" w:cs="Arial"/>
          <w:sz w:val="24"/>
          <w:szCs w:val="24"/>
          <w:shd w:val="clear" w:color="auto" w:fill="FFFFFF"/>
        </w:rPr>
        <w:t>fairly homogenous</w:t>
      </w:r>
      <w:proofErr w:type="gramEnd"/>
      <w:r w:rsidRPr="00252AA5">
        <w:rPr>
          <w:rFonts w:ascii="Arial" w:hAnsi="Arial" w:cs="Arial"/>
          <w:sz w:val="24"/>
          <w:szCs w:val="24"/>
          <w:shd w:val="clear" w:color="auto" w:fill="FFFFFF"/>
        </w:rPr>
        <w:t xml:space="preserve"> in financial markets. The uniformity of prices across different financial markets does not allow market participants to exploit </w:t>
      </w:r>
      <w:hyperlink r:id="rId19" w:history="1">
        <w:r w:rsidRPr="00252AA5">
          <w:rPr>
            <w:rStyle w:val="Hyperlink"/>
            <w:rFonts w:ascii="Arial" w:hAnsi="Arial" w:cs="Arial"/>
            <w:color w:val="auto"/>
            <w:sz w:val="24"/>
            <w:szCs w:val="24"/>
            <w:u w:val="none"/>
            <w:shd w:val="clear" w:color="auto" w:fill="FFFFFF"/>
          </w:rPr>
          <w:t>arbitrage</w:t>
        </w:r>
      </w:hyperlink>
      <w:r w:rsidRPr="00252AA5">
        <w:rPr>
          <w:rFonts w:ascii="Arial" w:hAnsi="Arial" w:cs="Arial"/>
          <w:sz w:val="24"/>
          <w:szCs w:val="24"/>
          <w:shd w:val="clear" w:color="auto" w:fill="FFFFFF"/>
        </w:rPr>
        <w:t> opportunities from significant price disparities for the same asset in different markets.</w:t>
      </w:r>
    </w:p>
    <w:p w14:paraId="6F94ECC4" w14:textId="77777777" w:rsidR="00252AA5" w:rsidRPr="00252AA5" w:rsidRDefault="00252AA5" w:rsidP="00252AA5">
      <w:pPr>
        <w:pStyle w:val="NormalWeb"/>
        <w:shd w:val="clear" w:color="auto" w:fill="FFFFFF"/>
        <w:jc w:val="both"/>
        <w:rPr>
          <w:rFonts w:ascii="Arial" w:hAnsi="Arial" w:cs="Arial"/>
        </w:rPr>
      </w:pPr>
      <w:r w:rsidRPr="00252AA5">
        <w:rPr>
          <w:rFonts w:ascii="Arial" w:hAnsi="Arial" w:cs="Arial"/>
        </w:rPr>
        <w:lastRenderedPageBreak/>
        <w:t>Most frequently, spot prices are considered in the context of </w:t>
      </w:r>
      <w:hyperlink r:id="rId20" w:history="1">
        <w:r w:rsidRPr="00252AA5">
          <w:rPr>
            <w:rStyle w:val="Hyperlink"/>
            <w:rFonts w:ascii="Arial" w:hAnsi="Arial" w:cs="Arial"/>
            <w:color w:val="auto"/>
            <w:u w:val="none"/>
          </w:rPr>
          <w:t>forwards and futures contracts</w:t>
        </w:r>
      </w:hyperlink>
      <w:r w:rsidRPr="00252AA5">
        <w:rPr>
          <w:rFonts w:ascii="Arial" w:hAnsi="Arial" w:cs="Arial"/>
        </w:rPr>
        <w:t>. One of the reasons for the creation of such financial contracts is to “lock in” the desired spot price of a commodity at some future date because prices constantly change due to fluctuations in </w:t>
      </w:r>
      <w:hyperlink r:id="rId21" w:history="1">
        <w:r w:rsidRPr="00252AA5">
          <w:rPr>
            <w:rStyle w:val="Hyperlink"/>
            <w:rFonts w:ascii="Arial" w:hAnsi="Arial" w:cs="Arial"/>
            <w:color w:val="auto"/>
            <w:u w:val="none"/>
          </w:rPr>
          <w:t>supply and demand</w:t>
        </w:r>
      </w:hyperlink>
      <w:r w:rsidRPr="00252AA5">
        <w:rPr>
          <w:rFonts w:ascii="Arial" w:hAnsi="Arial" w:cs="Arial"/>
        </w:rPr>
        <w:t>.</w:t>
      </w:r>
    </w:p>
    <w:p w14:paraId="3F4C1F9A" w14:textId="77777777" w:rsidR="00252AA5" w:rsidRPr="00252AA5" w:rsidRDefault="00252AA5" w:rsidP="00252AA5">
      <w:pPr>
        <w:pStyle w:val="NormalWeb"/>
        <w:shd w:val="clear" w:color="auto" w:fill="FFFFFF"/>
        <w:jc w:val="both"/>
        <w:rPr>
          <w:rFonts w:ascii="Arial" w:hAnsi="Arial" w:cs="Arial"/>
        </w:rPr>
      </w:pPr>
      <w:r w:rsidRPr="00252AA5">
        <w:rPr>
          <w:rFonts w:ascii="Arial" w:hAnsi="Arial" w:cs="Arial"/>
        </w:rPr>
        <w:t>The spot price is a key variable in determining the price of a futures contract. It can indicate expectations about fluctuations in future commodity prices.</w:t>
      </w:r>
    </w:p>
    <w:p w14:paraId="505613D9" w14:textId="77777777" w:rsidR="00252AA5" w:rsidRPr="00252AA5" w:rsidRDefault="00252AA5" w:rsidP="00252AA5">
      <w:pPr>
        <w:pStyle w:val="NormalWeb"/>
        <w:shd w:val="clear" w:color="auto" w:fill="FFFFFF"/>
        <w:jc w:val="both"/>
        <w:rPr>
          <w:rFonts w:ascii="Arial" w:hAnsi="Arial" w:cs="Arial"/>
        </w:rPr>
      </w:pPr>
      <w:r w:rsidRPr="00252AA5">
        <w:rPr>
          <w:rFonts w:ascii="Arial" w:hAnsi="Arial" w:cs="Arial"/>
        </w:rPr>
        <w:t>The main difference between spot prices and futures prices is that spot prices are for immediate buying and selling, while futures contracts delay payment and delivery to predetermined future dates.</w:t>
      </w:r>
    </w:p>
    <w:p w14:paraId="11443F4E" w14:textId="77777777" w:rsidR="00252AA5" w:rsidRPr="00252AA5" w:rsidRDefault="00252AA5" w:rsidP="00252AA5">
      <w:pPr>
        <w:pStyle w:val="NormalWeb"/>
        <w:shd w:val="clear" w:color="auto" w:fill="FFFFFF"/>
        <w:jc w:val="both"/>
        <w:rPr>
          <w:rFonts w:ascii="Arial" w:hAnsi="Arial" w:cs="Arial"/>
        </w:rPr>
      </w:pPr>
      <w:r w:rsidRPr="00252AA5">
        <w:rPr>
          <w:rFonts w:ascii="Arial" w:hAnsi="Arial" w:cs="Arial"/>
        </w:rPr>
        <w:t>The spot price is usually below the futures price. The situation is known as contango. Contango is quite common for non-perishable goods with significant storage costs.</w:t>
      </w:r>
    </w:p>
    <w:p w14:paraId="023D5427" w14:textId="77777777" w:rsidR="00252AA5" w:rsidRPr="00252AA5" w:rsidRDefault="00252AA5" w:rsidP="00252AA5">
      <w:pPr>
        <w:pStyle w:val="NormalWeb"/>
        <w:shd w:val="clear" w:color="auto" w:fill="FFFFFF"/>
        <w:jc w:val="both"/>
        <w:rPr>
          <w:rFonts w:ascii="Arial" w:hAnsi="Arial" w:cs="Arial"/>
        </w:rPr>
      </w:pPr>
      <w:r w:rsidRPr="00252AA5">
        <w:rPr>
          <w:rFonts w:ascii="Arial" w:hAnsi="Arial" w:cs="Arial"/>
        </w:rPr>
        <w:t>On the other hand, there is </w:t>
      </w:r>
      <w:hyperlink r:id="rId22" w:tgtFrame="_blank" w:history="1">
        <w:r w:rsidRPr="00252AA5">
          <w:rPr>
            <w:rStyle w:val="Hyperlink"/>
            <w:rFonts w:ascii="Arial" w:hAnsi="Arial" w:cs="Arial"/>
            <w:color w:val="auto"/>
            <w:u w:val="none"/>
          </w:rPr>
          <w:t>backwardation</w:t>
        </w:r>
      </w:hyperlink>
      <w:r w:rsidRPr="00252AA5">
        <w:rPr>
          <w:rFonts w:ascii="Arial" w:hAnsi="Arial" w:cs="Arial"/>
        </w:rPr>
        <w:t>, which is a situation when the spot price exceeds the futures price.</w:t>
      </w:r>
    </w:p>
    <w:p w14:paraId="05D21438" w14:textId="77777777" w:rsidR="00252AA5" w:rsidRDefault="00252AA5" w:rsidP="00252AA5">
      <w:pPr>
        <w:pStyle w:val="NormalWeb"/>
        <w:shd w:val="clear" w:color="auto" w:fill="FFFFFF"/>
        <w:jc w:val="both"/>
        <w:rPr>
          <w:rFonts w:ascii="Arial" w:hAnsi="Arial" w:cs="Arial"/>
        </w:rPr>
      </w:pPr>
      <w:r w:rsidRPr="00252AA5">
        <w:rPr>
          <w:rFonts w:ascii="Arial" w:hAnsi="Arial" w:cs="Arial"/>
        </w:rPr>
        <w:t>In either situation, the futures price is expected to eventually converge with the current market price.</w:t>
      </w:r>
    </w:p>
    <w:p w14:paraId="5E28420F" w14:textId="77777777" w:rsidR="00FF1A83" w:rsidRDefault="00A70ED1" w:rsidP="00252AA5">
      <w:pPr>
        <w:pStyle w:val="NormalWeb"/>
        <w:shd w:val="clear" w:color="auto" w:fill="FFFFFF"/>
        <w:jc w:val="both"/>
        <w:rPr>
          <w:rFonts w:ascii="Arial" w:hAnsi="Arial" w:cs="Arial"/>
        </w:rPr>
      </w:pPr>
      <w:r>
        <w:rPr>
          <w:rFonts w:ascii="Arial" w:hAnsi="Arial" w:cs="Arial"/>
        </w:rPr>
        <w:t xml:space="preserve">The spot price is </w:t>
      </w:r>
      <w:proofErr w:type="gramStart"/>
      <w:r>
        <w:rPr>
          <w:rFonts w:ascii="Arial" w:hAnsi="Arial" w:cs="Arial"/>
        </w:rPr>
        <w:t>more or less related</w:t>
      </w:r>
      <w:proofErr w:type="gramEnd"/>
      <w:r>
        <w:rPr>
          <w:rFonts w:ascii="Arial" w:hAnsi="Arial" w:cs="Arial"/>
        </w:rPr>
        <w:t xml:space="preserve"> to the current market scenario which includes the demand and supply and other factors However the future markets are more speculative in nature, more in anticipation of the price movements. The main aim of the future traders is to earn profit</w:t>
      </w:r>
      <w:r w:rsidR="00FF1A83">
        <w:rPr>
          <w:rFonts w:ascii="Arial" w:hAnsi="Arial" w:cs="Arial"/>
        </w:rPr>
        <w:t xml:space="preserve"> </w:t>
      </w:r>
      <w:r>
        <w:rPr>
          <w:rFonts w:ascii="Arial" w:hAnsi="Arial" w:cs="Arial"/>
        </w:rPr>
        <w:t xml:space="preserve">from price differentials. Hence a speculative angle becomes more important than the delivery angle. </w:t>
      </w:r>
    </w:p>
    <w:p w14:paraId="11C52DE0" w14:textId="77777777" w:rsidR="00FF1A83" w:rsidRDefault="00A70ED1" w:rsidP="00252AA5">
      <w:pPr>
        <w:pStyle w:val="NormalWeb"/>
        <w:shd w:val="clear" w:color="auto" w:fill="FFFFFF"/>
        <w:jc w:val="both"/>
        <w:rPr>
          <w:rFonts w:ascii="Arial" w:hAnsi="Arial" w:cs="Arial"/>
        </w:rPr>
      </w:pPr>
      <w:r>
        <w:rPr>
          <w:rFonts w:ascii="Arial" w:hAnsi="Arial" w:cs="Arial"/>
        </w:rPr>
        <w:t xml:space="preserve">The future prices are also calculated on the basis of macroeconomic factors like the risk free </w:t>
      </w:r>
      <w:proofErr w:type="spellStart"/>
      <w:proofErr w:type="gramStart"/>
      <w:r w:rsidR="00FF1A83">
        <w:rPr>
          <w:rFonts w:ascii="Arial" w:hAnsi="Arial" w:cs="Arial"/>
        </w:rPr>
        <w:t>returns,etc</w:t>
      </w:r>
      <w:proofErr w:type="spellEnd"/>
      <w:r w:rsidR="00FF1A83">
        <w:rPr>
          <w:rFonts w:ascii="Arial" w:hAnsi="Arial" w:cs="Arial"/>
        </w:rPr>
        <w:t>.</w:t>
      </w:r>
      <w:proofErr w:type="gramEnd"/>
      <w:r>
        <w:rPr>
          <w:rFonts w:ascii="Arial" w:hAnsi="Arial" w:cs="Arial"/>
        </w:rPr>
        <w:t xml:space="preserve"> </w:t>
      </w:r>
      <w:r w:rsidR="00FF1A83">
        <w:rPr>
          <w:rFonts w:ascii="Arial" w:hAnsi="Arial" w:cs="Arial"/>
        </w:rPr>
        <w:t>H</w:t>
      </w:r>
      <w:r>
        <w:rPr>
          <w:rFonts w:ascii="Arial" w:hAnsi="Arial" w:cs="Arial"/>
        </w:rPr>
        <w:t>owever</w:t>
      </w:r>
      <w:r w:rsidR="00FF1A83">
        <w:rPr>
          <w:rFonts w:ascii="Arial" w:hAnsi="Arial" w:cs="Arial"/>
        </w:rPr>
        <w:t>,</w:t>
      </w:r>
      <w:r>
        <w:rPr>
          <w:rFonts w:ascii="Arial" w:hAnsi="Arial" w:cs="Arial"/>
        </w:rPr>
        <w:t xml:space="preserve"> in the market traders take different views</w:t>
      </w:r>
      <w:r w:rsidR="00FF1A83">
        <w:rPr>
          <w:rFonts w:ascii="Arial" w:hAnsi="Arial" w:cs="Arial"/>
        </w:rPr>
        <w:t>,</w:t>
      </w:r>
      <w:r>
        <w:rPr>
          <w:rFonts w:ascii="Arial" w:hAnsi="Arial" w:cs="Arial"/>
        </w:rPr>
        <w:t xml:space="preserve"> so depending upon the expected demand and supply or macroeconomic changes or the changes in the </w:t>
      </w:r>
      <w:r w:rsidR="00FF1A83">
        <w:rPr>
          <w:rFonts w:ascii="Arial" w:hAnsi="Arial" w:cs="Arial"/>
        </w:rPr>
        <w:t>monetary</w:t>
      </w:r>
      <w:r>
        <w:rPr>
          <w:rFonts w:ascii="Arial" w:hAnsi="Arial" w:cs="Arial"/>
        </w:rPr>
        <w:t xml:space="preserve"> policy the future markets take an outlook </w:t>
      </w:r>
      <w:r w:rsidR="00FF1A83">
        <w:rPr>
          <w:rFonts w:ascii="Arial" w:hAnsi="Arial" w:cs="Arial"/>
        </w:rPr>
        <w:t>T</w:t>
      </w:r>
      <w:r>
        <w:rPr>
          <w:rFonts w:ascii="Arial" w:hAnsi="Arial" w:cs="Arial"/>
        </w:rPr>
        <w:t xml:space="preserve">he spot mark is on the other hand trail the future markets </w:t>
      </w:r>
      <w:r w:rsidR="00FF1A83">
        <w:rPr>
          <w:rFonts w:ascii="Arial" w:hAnsi="Arial" w:cs="Arial"/>
        </w:rPr>
        <w:t>A</w:t>
      </w:r>
      <w:r>
        <w:rPr>
          <w:rFonts w:ascii="Arial" w:hAnsi="Arial" w:cs="Arial"/>
        </w:rPr>
        <w:t xml:space="preserve">nticipated demand and supply verses the current demand supply is </w:t>
      </w:r>
      <w:r w:rsidR="00FF1A83">
        <w:rPr>
          <w:rFonts w:ascii="Arial" w:hAnsi="Arial" w:cs="Arial"/>
        </w:rPr>
        <w:t xml:space="preserve">guides </w:t>
      </w:r>
      <w:r>
        <w:rPr>
          <w:rFonts w:ascii="Arial" w:hAnsi="Arial" w:cs="Arial"/>
        </w:rPr>
        <w:t>the difference of the expected spot prices and the future prices</w:t>
      </w:r>
      <w:r w:rsidR="00FF1A83">
        <w:rPr>
          <w:rFonts w:ascii="Arial" w:hAnsi="Arial" w:cs="Arial"/>
        </w:rPr>
        <w:t>.</w:t>
      </w:r>
    </w:p>
    <w:p w14:paraId="057C9E54" w14:textId="1603CC8F" w:rsidR="0037598C" w:rsidRDefault="00FF1A83" w:rsidP="00FF1A83">
      <w:pPr>
        <w:pStyle w:val="NormalWeb"/>
        <w:shd w:val="clear" w:color="auto" w:fill="FFFFFF"/>
        <w:jc w:val="both"/>
        <w:rPr>
          <w:rFonts w:ascii="Arial" w:hAnsi="Arial" w:cs="Arial"/>
        </w:rPr>
      </w:pPr>
      <w:r>
        <w:rPr>
          <w:rFonts w:ascii="Arial" w:hAnsi="Arial" w:cs="Arial"/>
        </w:rPr>
        <w:t xml:space="preserve"> T</w:t>
      </w:r>
      <w:r w:rsidR="00A70ED1">
        <w:rPr>
          <w:rFonts w:ascii="Arial" w:hAnsi="Arial" w:cs="Arial"/>
        </w:rPr>
        <w:t xml:space="preserve">he future prices are more calculative in nature but anticipated spot prices are more </w:t>
      </w:r>
      <w:r>
        <w:rPr>
          <w:rFonts w:ascii="Arial" w:hAnsi="Arial" w:cs="Arial"/>
        </w:rPr>
        <w:t xml:space="preserve">speculative. The anticipated spot prices </w:t>
      </w:r>
      <w:proofErr w:type="gramStart"/>
      <w:r>
        <w:rPr>
          <w:rFonts w:ascii="Arial" w:hAnsi="Arial" w:cs="Arial"/>
        </w:rPr>
        <w:t>depends</w:t>
      </w:r>
      <w:proofErr w:type="gramEnd"/>
      <w:r>
        <w:rPr>
          <w:rFonts w:ascii="Arial" w:hAnsi="Arial" w:cs="Arial"/>
        </w:rPr>
        <w:t xml:space="preserve"> upon the ground realities and market sentiment. The future prices are more dependent upon the related market factors. Overall </w:t>
      </w:r>
      <w:proofErr w:type="gramStart"/>
      <w:r>
        <w:rPr>
          <w:rFonts w:ascii="Arial" w:hAnsi="Arial" w:cs="Arial"/>
        </w:rPr>
        <w:t>anticipated  spot</w:t>
      </w:r>
      <w:proofErr w:type="gramEnd"/>
      <w:r>
        <w:rPr>
          <w:rFonts w:ascii="Arial" w:hAnsi="Arial" w:cs="Arial"/>
        </w:rPr>
        <w:t xml:space="preserve">  markets in absence of guidance, follow the future market price trends, taking a cue from investor sentiment.</w:t>
      </w:r>
    </w:p>
    <w:p w14:paraId="0EEB1B4B" w14:textId="4798675A" w:rsidR="00631535" w:rsidRDefault="00631535" w:rsidP="00FF1A83">
      <w:pPr>
        <w:pStyle w:val="NormalWeb"/>
        <w:shd w:val="clear" w:color="auto" w:fill="FFFFFF"/>
        <w:jc w:val="both"/>
        <w:rPr>
          <w:rFonts w:ascii="Arial" w:hAnsi="Arial" w:cs="Arial"/>
        </w:rPr>
      </w:pPr>
      <w:r>
        <w:rPr>
          <w:rFonts w:ascii="Arial" w:hAnsi="Arial" w:cs="Arial"/>
        </w:rPr>
        <w:tab/>
      </w:r>
      <w:r>
        <w:rPr>
          <w:rFonts w:ascii="Arial" w:hAnsi="Arial" w:cs="Arial"/>
        </w:rPr>
        <w:tab/>
      </w:r>
      <w:r>
        <w:rPr>
          <w:rFonts w:ascii="Arial" w:hAnsi="Arial" w:cs="Arial"/>
        </w:rPr>
        <w:tab/>
        <w:t>Basis &amp; Basis Risk</w:t>
      </w:r>
    </w:p>
    <w:p w14:paraId="7138AA48" w14:textId="6C738AA7" w:rsidR="00631535" w:rsidRDefault="00631535" w:rsidP="00FF1A83">
      <w:pPr>
        <w:pStyle w:val="NormalWeb"/>
        <w:shd w:val="clear" w:color="auto" w:fill="FFFFFF"/>
        <w:jc w:val="both"/>
        <w:rPr>
          <w:rFonts w:ascii="Arial" w:hAnsi="Arial" w:cs="Arial"/>
          <w:color w:val="595959"/>
          <w:shd w:val="clear" w:color="auto" w:fill="FFFFFF"/>
        </w:rPr>
      </w:pPr>
      <w:r>
        <w:rPr>
          <w:rFonts w:ascii="Arial" w:hAnsi="Arial" w:cs="Arial"/>
          <w:color w:val="595959"/>
          <w:shd w:val="clear" w:color="auto" w:fill="FFFFFF"/>
        </w:rPr>
        <w:t>Basis is the difference between the futures and spot prices and, for the purposes of recommending a hedging strategy, it is often assumed to diminish at a constant rate. Basis risk arises when the price of a futures contract does not have a predictable relationship with the spot price of the instrument being hedged. When basis risk is introduced to a scenario, it may mean an alternative hedging method would provide a better result.</w:t>
      </w:r>
    </w:p>
    <w:p w14:paraId="7EF131C5" w14:textId="77777777"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lastRenderedPageBreak/>
        <w:t>Basis risk is defined as the inherent risk a </w:t>
      </w:r>
      <w:hyperlink r:id="rId23" w:history="1">
        <w:r>
          <w:rPr>
            <w:rStyle w:val="Hyperlink"/>
            <w:rFonts w:ascii="Segoe UI" w:hAnsi="Segoe UI" w:cs="Segoe UI"/>
            <w:color w:val="004993"/>
          </w:rPr>
          <w:t>trader</w:t>
        </w:r>
      </w:hyperlink>
      <w:r>
        <w:rPr>
          <w:rFonts w:ascii="Segoe UI" w:hAnsi="Segoe UI" w:cs="Segoe UI"/>
          <w:color w:val="374151"/>
        </w:rPr>
        <w:t xml:space="preserve"> takes when hedging a position by taking a contrary position in a derivative of the asset, such as a futures contract. Basis risk is accepted </w:t>
      </w:r>
      <w:proofErr w:type="gramStart"/>
      <w:r>
        <w:rPr>
          <w:rFonts w:ascii="Segoe UI" w:hAnsi="Segoe UI" w:cs="Segoe UI"/>
          <w:color w:val="374151"/>
        </w:rPr>
        <w:t>in an attempt to</w:t>
      </w:r>
      <w:proofErr w:type="gramEnd"/>
      <w:r>
        <w:rPr>
          <w:rFonts w:ascii="Segoe UI" w:hAnsi="Segoe UI" w:cs="Segoe UI"/>
          <w:color w:val="374151"/>
        </w:rPr>
        <w:t xml:space="preserve"> hedge away price risk.</w:t>
      </w:r>
    </w:p>
    <w:p w14:paraId="060F3D58" w14:textId="2B12C19F"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As an example, if the current spot price of gold is ₹75000 and the price of gold in the June gold futures contract is ₹76000, then the basis, the differential, is ₹1000.</w:t>
      </w:r>
    </w:p>
    <w:p w14:paraId="11B1064E" w14:textId="77777777"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Basis risk is the risk that the futures price might not move in normal, steady correlation with the price of the underlying </w:t>
      </w:r>
      <w:hyperlink r:id="rId24" w:history="1">
        <w:r>
          <w:rPr>
            <w:rStyle w:val="Hyperlink"/>
            <w:rFonts w:ascii="Segoe UI" w:hAnsi="Segoe UI" w:cs="Segoe UI"/>
            <w:color w:val="004993"/>
          </w:rPr>
          <w:t>asset</w:t>
        </w:r>
      </w:hyperlink>
      <w:r>
        <w:rPr>
          <w:rFonts w:ascii="Segoe UI" w:hAnsi="Segoe UI" w:cs="Segoe UI"/>
          <w:color w:val="374151"/>
        </w:rPr>
        <w:t>, and that this fluctuation in the basis may negate the effectiveness of a hedging strategy employed to minimize a trader’s exposure to potential loss. The price spread (difference) between the cash price and the futures price may either widen or narrow.</w:t>
      </w:r>
    </w:p>
    <w:p w14:paraId="0F3F0B72" w14:textId="466AB485" w:rsidR="00F72F80" w:rsidRDefault="00F72F80" w:rsidP="00F72F80">
      <w:pPr>
        <w:pStyle w:val="NormalWeb"/>
        <w:shd w:val="clear" w:color="auto" w:fill="FFFFFF"/>
        <w:rPr>
          <w:rFonts w:ascii="Segoe UI" w:hAnsi="Segoe UI" w:cs="Segoe UI"/>
          <w:color w:val="374151"/>
          <w:shd w:val="clear" w:color="auto" w:fill="FFFFFF"/>
        </w:rPr>
      </w:pPr>
      <w:r>
        <w:rPr>
          <w:rFonts w:ascii="Segoe UI" w:hAnsi="Segoe UI" w:cs="Segoe UI"/>
          <w:color w:val="374151"/>
          <w:shd w:val="clear" w:color="auto" w:fill="FFFFFF"/>
        </w:rPr>
        <w:t>A </w:t>
      </w:r>
      <w:hyperlink r:id="rId25" w:history="1">
        <w:r w:rsidRPr="00F72F80">
          <w:rPr>
            <w:rStyle w:val="Hyperlink"/>
            <w:rFonts w:ascii="Segoe UI" w:hAnsi="Segoe UI" w:cs="Segoe UI"/>
            <w:color w:val="auto"/>
            <w:u w:val="none"/>
            <w:shd w:val="clear" w:color="auto" w:fill="FFFFFF"/>
          </w:rPr>
          <w:t>hedging</w:t>
        </w:r>
      </w:hyperlink>
      <w:r w:rsidRPr="00F72F80">
        <w:rPr>
          <w:rFonts w:ascii="Segoe UI" w:hAnsi="Segoe UI" w:cs="Segoe UI"/>
          <w:shd w:val="clear" w:color="auto" w:fill="FFFFFF"/>
        </w:rPr>
        <w:t> </w:t>
      </w:r>
      <w:r>
        <w:rPr>
          <w:rFonts w:ascii="Segoe UI" w:hAnsi="Segoe UI" w:cs="Segoe UI"/>
          <w:color w:val="374151"/>
          <w:shd w:val="clear" w:color="auto" w:fill="FFFFFF"/>
        </w:rPr>
        <w:t>strategy is one where a trader adopts a second market position for the purpose of minimizing the risk exposure in the initial market position. The strategy may involve taking a futures position contrary to one’s market position in the underlying asset.</w:t>
      </w:r>
    </w:p>
    <w:p w14:paraId="6E846838" w14:textId="729C61D9" w:rsidR="00035AEB" w:rsidRDefault="00F72F80" w:rsidP="00F72F80">
      <w:pPr>
        <w:pStyle w:val="NormalWeb"/>
        <w:shd w:val="clear" w:color="auto" w:fill="FFFFFF"/>
        <w:rPr>
          <w:rFonts w:ascii="Segoe UI" w:hAnsi="Segoe UI" w:cs="Segoe UI"/>
          <w:color w:val="374151"/>
          <w:shd w:val="clear" w:color="auto" w:fill="FFFFFF"/>
        </w:rPr>
      </w:pPr>
      <w:r>
        <w:rPr>
          <w:rFonts w:ascii="Segoe UI" w:hAnsi="Segoe UI" w:cs="Segoe UI"/>
          <w:color w:val="374151"/>
          <w:shd w:val="clear" w:color="auto" w:fill="FFFFFF"/>
        </w:rPr>
        <w:t>Example of Basis Risk</w:t>
      </w:r>
      <w:r w:rsidR="00035AEB">
        <w:rPr>
          <w:rFonts w:ascii="Segoe UI" w:hAnsi="Segoe UI" w:cs="Segoe UI"/>
          <w:color w:val="374151"/>
          <w:shd w:val="clear" w:color="auto" w:fill="FFFFFF"/>
        </w:rPr>
        <w:t xml:space="preserve"> </w:t>
      </w:r>
    </w:p>
    <w:p w14:paraId="5E04FC20" w14:textId="07C2ED2E"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 xml:space="preserve">Suppose a rice farmer in USA wants to hedge against possible price fluctuations in the market. For example, in December, he decides to </w:t>
      </w:r>
      <w:proofErr w:type="gramStart"/>
      <w:r>
        <w:rPr>
          <w:rFonts w:ascii="Segoe UI" w:hAnsi="Segoe UI" w:cs="Segoe UI"/>
          <w:color w:val="374151"/>
        </w:rPr>
        <w:t>enter into</w:t>
      </w:r>
      <w:proofErr w:type="gramEnd"/>
      <w:r>
        <w:rPr>
          <w:rFonts w:ascii="Segoe UI" w:hAnsi="Segoe UI" w:cs="Segoe UI"/>
          <w:color w:val="374151"/>
        </w:rPr>
        <w:t xml:space="preserve"> a short-sell position in a futures contract in order to limit his exposure to a possible decline in the cash price prior to the time when he will sell his crop in the cash market.</w:t>
      </w:r>
    </w:p>
    <w:p w14:paraId="00494014" w14:textId="5C52BBBA"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 xml:space="preserve">Assume that the spot price of rice is </w:t>
      </w:r>
      <w:r w:rsidR="00DC1BB7">
        <w:rPr>
          <w:rFonts w:ascii="Segoe UI" w:hAnsi="Segoe UI" w:cs="Segoe UI"/>
          <w:color w:val="374151"/>
        </w:rPr>
        <w:t>₹</w:t>
      </w:r>
      <w:r>
        <w:rPr>
          <w:rFonts w:ascii="Segoe UI" w:hAnsi="Segoe UI" w:cs="Segoe UI"/>
          <w:color w:val="374151"/>
        </w:rPr>
        <w:t xml:space="preserve">50 and the futures price for a March futures contract is </w:t>
      </w:r>
      <w:r w:rsidR="00DC1BB7">
        <w:rPr>
          <w:rFonts w:ascii="Segoe UI" w:hAnsi="Segoe UI" w:cs="Segoe UI"/>
          <w:color w:val="374151"/>
        </w:rPr>
        <w:t>₹</w:t>
      </w:r>
      <w:r>
        <w:rPr>
          <w:rFonts w:ascii="Segoe UI" w:hAnsi="Segoe UI" w:cs="Segoe UI"/>
          <w:color w:val="374151"/>
        </w:rPr>
        <w:t xml:space="preserve">55. The basis, then, is </w:t>
      </w:r>
      <w:r w:rsidR="00DC1BB7">
        <w:rPr>
          <w:rFonts w:ascii="Segoe UI" w:hAnsi="Segoe UI" w:cs="Segoe UI"/>
          <w:color w:val="374151"/>
        </w:rPr>
        <w:t>₹</w:t>
      </w:r>
      <w:r>
        <w:rPr>
          <w:rFonts w:ascii="Segoe UI" w:hAnsi="Segoe UI" w:cs="Segoe UI"/>
          <w:color w:val="374151"/>
        </w:rPr>
        <w:t>5.00 (the futures price minus the spot price). In this situation the market is in </w:t>
      </w:r>
      <w:hyperlink r:id="rId26" w:history="1">
        <w:r>
          <w:rPr>
            <w:rStyle w:val="Hyperlink"/>
            <w:rFonts w:ascii="Segoe UI" w:hAnsi="Segoe UI" w:cs="Segoe UI"/>
            <w:color w:val="004993"/>
          </w:rPr>
          <w:t>contango,</w:t>
        </w:r>
      </w:hyperlink>
      <w:r>
        <w:rPr>
          <w:rFonts w:ascii="Segoe UI" w:hAnsi="Segoe UI" w:cs="Segoe UI"/>
          <w:color w:val="374151"/>
        </w:rPr>
        <w:t> i.e., the spot price is less than the futures price.</w:t>
      </w:r>
    </w:p>
    <w:p w14:paraId="152BFAB0" w14:textId="4970577B"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 xml:space="preserve">Suppose the farmer decides to lift the hedge in February, due to falling prices. At the time he decides to close out his market positions, the spot price is </w:t>
      </w:r>
      <w:r w:rsidR="00DC1BB7">
        <w:rPr>
          <w:rFonts w:ascii="Segoe UI" w:hAnsi="Segoe UI" w:cs="Segoe UI"/>
          <w:color w:val="374151"/>
        </w:rPr>
        <w:t>₹</w:t>
      </w:r>
      <w:r>
        <w:rPr>
          <w:rFonts w:ascii="Segoe UI" w:hAnsi="Segoe UI" w:cs="Segoe UI"/>
          <w:color w:val="374151"/>
        </w:rPr>
        <w:t xml:space="preserve">47 and the March futures price is </w:t>
      </w:r>
      <w:r w:rsidR="00DC1BB7">
        <w:rPr>
          <w:rFonts w:ascii="Segoe UI" w:hAnsi="Segoe UI" w:cs="Segoe UI"/>
          <w:color w:val="374151"/>
        </w:rPr>
        <w:t>₹</w:t>
      </w:r>
      <w:r>
        <w:rPr>
          <w:rFonts w:ascii="Segoe UI" w:hAnsi="Segoe UI" w:cs="Segoe UI"/>
          <w:color w:val="374151"/>
        </w:rPr>
        <w:t xml:space="preserve">49. He sells his rice crop at </w:t>
      </w:r>
      <w:r w:rsidR="00DC1BB7">
        <w:rPr>
          <w:rFonts w:ascii="Segoe UI" w:hAnsi="Segoe UI" w:cs="Segoe UI"/>
          <w:color w:val="374151"/>
        </w:rPr>
        <w:t>₹</w:t>
      </w:r>
      <w:r>
        <w:rPr>
          <w:rFonts w:ascii="Segoe UI" w:hAnsi="Segoe UI" w:cs="Segoe UI"/>
          <w:color w:val="374151"/>
        </w:rPr>
        <w:t xml:space="preserve">47 per unit and lifts his hedge by buying futures to close out his short sell position at </w:t>
      </w:r>
      <w:r w:rsidR="00DC1BB7">
        <w:rPr>
          <w:rFonts w:ascii="Segoe UI" w:hAnsi="Segoe UI" w:cs="Segoe UI"/>
          <w:color w:val="374151"/>
        </w:rPr>
        <w:t>₹</w:t>
      </w:r>
      <w:r>
        <w:rPr>
          <w:rFonts w:ascii="Segoe UI" w:hAnsi="Segoe UI" w:cs="Segoe UI"/>
          <w:color w:val="374151"/>
        </w:rPr>
        <w:t>49.</w:t>
      </w:r>
      <w:r w:rsidR="00035AEB">
        <w:rPr>
          <w:rFonts w:ascii="Segoe UI" w:hAnsi="Segoe UI" w:cs="Segoe UI"/>
          <w:color w:val="374151"/>
        </w:rPr>
        <w:t xml:space="preserve">   </w:t>
      </w:r>
    </w:p>
    <w:p w14:paraId="533CE6FD" w14:textId="0C2A5E18"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 xml:space="preserve">In this case, his </w:t>
      </w:r>
      <w:r w:rsidR="00DC1BB7">
        <w:rPr>
          <w:rFonts w:ascii="Segoe UI" w:hAnsi="Segoe UI" w:cs="Segoe UI"/>
          <w:color w:val="374151"/>
        </w:rPr>
        <w:t>₹</w:t>
      </w:r>
      <w:r>
        <w:rPr>
          <w:rFonts w:ascii="Segoe UI" w:hAnsi="Segoe UI" w:cs="Segoe UI"/>
          <w:color w:val="374151"/>
        </w:rPr>
        <w:t xml:space="preserve">3 per unit loss in the cash market is more than offset by his </w:t>
      </w:r>
      <w:r w:rsidR="00DC1BB7">
        <w:rPr>
          <w:rFonts w:ascii="Segoe UI" w:hAnsi="Segoe UI" w:cs="Segoe UI"/>
          <w:color w:val="374151"/>
        </w:rPr>
        <w:t>₹</w:t>
      </w:r>
      <w:r>
        <w:rPr>
          <w:rFonts w:ascii="Segoe UI" w:hAnsi="Segoe UI" w:cs="Segoe UI"/>
          <w:color w:val="374151"/>
        </w:rPr>
        <w:t>6 gain from short selling futures (</w:t>
      </w:r>
      <w:r w:rsidR="00DC1BB7">
        <w:rPr>
          <w:rFonts w:ascii="Segoe UI" w:hAnsi="Segoe UI" w:cs="Segoe UI"/>
          <w:color w:val="374151"/>
        </w:rPr>
        <w:t>₹</w:t>
      </w:r>
      <w:r>
        <w:rPr>
          <w:rFonts w:ascii="Segoe UI" w:hAnsi="Segoe UI" w:cs="Segoe UI"/>
          <w:color w:val="374151"/>
        </w:rPr>
        <w:t xml:space="preserve">55 – </w:t>
      </w:r>
      <w:r w:rsidR="00DC1BB7">
        <w:rPr>
          <w:rFonts w:ascii="Segoe UI" w:hAnsi="Segoe UI" w:cs="Segoe UI"/>
          <w:color w:val="374151"/>
        </w:rPr>
        <w:t>₹</w:t>
      </w:r>
      <w:r>
        <w:rPr>
          <w:rFonts w:ascii="Segoe UI" w:hAnsi="Segoe UI" w:cs="Segoe UI"/>
          <w:color w:val="374151"/>
        </w:rPr>
        <w:t>49). Therefore, his net </w:t>
      </w:r>
      <w:hyperlink r:id="rId27" w:history="1">
        <w:r>
          <w:rPr>
            <w:rStyle w:val="Hyperlink"/>
            <w:rFonts w:ascii="Segoe UI" w:hAnsi="Segoe UI" w:cs="Segoe UI"/>
            <w:color w:val="004993"/>
          </w:rPr>
          <w:t>sales revenue</w:t>
        </w:r>
      </w:hyperlink>
      <w:r>
        <w:rPr>
          <w:rFonts w:ascii="Segoe UI" w:hAnsi="Segoe UI" w:cs="Segoe UI"/>
          <w:color w:val="374151"/>
        </w:rPr>
        <w:t xml:space="preserve"> becomes </w:t>
      </w:r>
      <w:r w:rsidR="00DC1BB7">
        <w:rPr>
          <w:rFonts w:ascii="Segoe UI" w:hAnsi="Segoe UI" w:cs="Segoe UI"/>
          <w:color w:val="374151"/>
        </w:rPr>
        <w:t>₹</w:t>
      </w:r>
      <w:r>
        <w:rPr>
          <w:rFonts w:ascii="Segoe UI" w:hAnsi="Segoe UI" w:cs="Segoe UI"/>
          <w:color w:val="374151"/>
        </w:rPr>
        <w:t>53 (</w:t>
      </w:r>
      <w:r w:rsidR="00DC1BB7">
        <w:rPr>
          <w:rFonts w:ascii="Segoe UI" w:hAnsi="Segoe UI" w:cs="Segoe UI"/>
          <w:color w:val="374151"/>
        </w:rPr>
        <w:t>₹</w:t>
      </w:r>
      <w:r>
        <w:rPr>
          <w:rFonts w:ascii="Segoe UI" w:hAnsi="Segoe UI" w:cs="Segoe UI"/>
          <w:color w:val="374151"/>
        </w:rPr>
        <w:t xml:space="preserve">47 cash price + </w:t>
      </w:r>
      <w:r w:rsidR="00DC1BB7">
        <w:rPr>
          <w:rFonts w:ascii="Segoe UI" w:hAnsi="Segoe UI" w:cs="Segoe UI"/>
          <w:color w:val="374151"/>
        </w:rPr>
        <w:t>₹</w:t>
      </w:r>
      <w:r>
        <w:rPr>
          <w:rFonts w:ascii="Segoe UI" w:hAnsi="Segoe UI" w:cs="Segoe UI"/>
          <w:color w:val="374151"/>
        </w:rPr>
        <w:t xml:space="preserve">6 futures profit). The farmer has enjoyed extra profits </w:t>
      </w:r>
      <w:proofErr w:type="gramStart"/>
      <w:r>
        <w:rPr>
          <w:rFonts w:ascii="Segoe UI" w:hAnsi="Segoe UI" w:cs="Segoe UI"/>
          <w:color w:val="374151"/>
        </w:rPr>
        <w:t>as a result of</w:t>
      </w:r>
      <w:proofErr w:type="gramEnd"/>
      <w:r>
        <w:rPr>
          <w:rFonts w:ascii="Segoe UI" w:hAnsi="Segoe UI" w:cs="Segoe UI"/>
          <w:color w:val="374151"/>
        </w:rPr>
        <w:t xml:space="preserve"> the basis narrowing from </w:t>
      </w:r>
      <w:r w:rsidR="00DC1BB7">
        <w:rPr>
          <w:rFonts w:ascii="Segoe UI" w:hAnsi="Segoe UI" w:cs="Segoe UI"/>
          <w:color w:val="374151"/>
        </w:rPr>
        <w:t>₹</w:t>
      </w:r>
      <w:r>
        <w:rPr>
          <w:rFonts w:ascii="Segoe UI" w:hAnsi="Segoe UI" w:cs="Segoe UI"/>
          <w:color w:val="374151"/>
        </w:rPr>
        <w:t xml:space="preserve">5 to </w:t>
      </w:r>
      <w:r w:rsidR="00DC1BB7">
        <w:rPr>
          <w:rFonts w:ascii="Segoe UI" w:hAnsi="Segoe UI" w:cs="Segoe UI"/>
          <w:color w:val="374151"/>
        </w:rPr>
        <w:t>₹</w:t>
      </w:r>
      <w:r>
        <w:rPr>
          <w:rFonts w:ascii="Segoe UI" w:hAnsi="Segoe UI" w:cs="Segoe UI"/>
          <w:color w:val="374151"/>
        </w:rPr>
        <w:t>2.</w:t>
      </w:r>
    </w:p>
    <w:p w14:paraId="627650D4" w14:textId="1A14A7DA" w:rsidR="00F72F80" w:rsidRDefault="00F72F80" w:rsidP="00F72F80">
      <w:pPr>
        <w:pStyle w:val="NormalWeb"/>
        <w:shd w:val="clear" w:color="auto" w:fill="FFFFFF"/>
        <w:rPr>
          <w:rFonts w:ascii="Segoe UI" w:hAnsi="Segoe UI" w:cs="Segoe UI"/>
          <w:color w:val="374151"/>
        </w:rPr>
      </w:pPr>
      <w:r>
        <w:rPr>
          <w:rFonts w:ascii="Segoe UI" w:hAnsi="Segoe UI" w:cs="Segoe UI"/>
          <w:color w:val="374151"/>
        </w:rPr>
        <w:t xml:space="preserve">If the basis remained constant, then the farmer would not gain any extra profit, nor incur any additional loss. His </w:t>
      </w:r>
      <w:r w:rsidR="00DC1BB7">
        <w:rPr>
          <w:rFonts w:ascii="Segoe UI" w:hAnsi="Segoe UI" w:cs="Segoe UI"/>
          <w:color w:val="374151"/>
        </w:rPr>
        <w:t>₹</w:t>
      </w:r>
      <w:r>
        <w:rPr>
          <w:rFonts w:ascii="Segoe UI" w:hAnsi="Segoe UI" w:cs="Segoe UI"/>
          <w:color w:val="374151"/>
        </w:rPr>
        <w:t xml:space="preserve">3.00 profit in futures would have exactly offset the </w:t>
      </w:r>
      <w:r w:rsidR="00DC1BB7">
        <w:rPr>
          <w:rFonts w:ascii="Segoe UI" w:hAnsi="Segoe UI" w:cs="Segoe UI"/>
          <w:color w:val="374151"/>
        </w:rPr>
        <w:t>₹</w:t>
      </w:r>
      <w:r>
        <w:rPr>
          <w:rFonts w:ascii="Segoe UI" w:hAnsi="Segoe UI" w:cs="Segoe UI"/>
          <w:color w:val="374151"/>
        </w:rPr>
        <w:t>3.00 loss in the cash market.</w:t>
      </w:r>
    </w:p>
    <w:p w14:paraId="712B5D18" w14:textId="77777777" w:rsidR="00631535" w:rsidRDefault="00631535" w:rsidP="00FF1A83">
      <w:pPr>
        <w:pStyle w:val="NormalWeb"/>
        <w:shd w:val="clear" w:color="auto" w:fill="FFFFFF"/>
        <w:jc w:val="both"/>
        <w:rPr>
          <w:rFonts w:ascii="Arial" w:hAnsi="Arial" w:cs="Arial"/>
          <w:szCs w:val="40"/>
        </w:rPr>
      </w:pPr>
    </w:p>
    <w:p w14:paraId="25EE127B" w14:textId="4C6ABDBF" w:rsidR="0037598C" w:rsidRDefault="0037598C" w:rsidP="0037598C">
      <w:pPr>
        <w:ind w:left="1440" w:firstLine="720"/>
        <w:rPr>
          <w:rFonts w:ascii="Arial" w:hAnsi="Arial" w:cs="Arial"/>
          <w:sz w:val="24"/>
          <w:szCs w:val="40"/>
        </w:rPr>
      </w:pPr>
      <w:r>
        <w:rPr>
          <w:rFonts w:ascii="Arial" w:hAnsi="Arial" w:cs="Arial"/>
          <w:sz w:val="24"/>
          <w:szCs w:val="40"/>
        </w:rPr>
        <w:lastRenderedPageBreak/>
        <w:t>Pricing of future contracts</w:t>
      </w:r>
    </w:p>
    <w:p w14:paraId="594CC3FA" w14:textId="328CB95B"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BB17C1">
        <w:rPr>
          <w:rFonts w:ascii="Arial" w:hAnsi="Arial" w:cs="Arial"/>
          <w:color w:val="666666"/>
          <w:sz w:val="24"/>
          <w:szCs w:val="24"/>
        </w:rPr>
        <w:t>The futures instrument derives its value from its respective underlying. The futures instrument moves in sync with its underlying. If the underlying price falls, so would the futures price and vice versa. However, the underlying price and the futures price differs and they are not really the same</w:t>
      </w:r>
      <w:r w:rsidR="00BB17C1" w:rsidRPr="00BB17C1">
        <w:rPr>
          <w:rFonts w:ascii="Arial" w:hAnsi="Arial" w:cs="Arial"/>
          <w:color w:val="666666"/>
          <w:sz w:val="24"/>
          <w:szCs w:val="24"/>
        </w:rPr>
        <w:t>. This difference in price between the futures price and the spot price is called the </w:t>
      </w:r>
      <w:r w:rsidR="00BB17C1" w:rsidRPr="00BB17C1">
        <w:rPr>
          <w:rStyle w:val="Strong"/>
          <w:rFonts w:ascii="Arial" w:hAnsi="Arial" w:cs="Arial"/>
          <w:color w:val="666666"/>
          <w:sz w:val="24"/>
          <w:szCs w:val="24"/>
        </w:rPr>
        <w:t>“basis or spread</w:t>
      </w:r>
      <w:proofErr w:type="gramStart"/>
      <w:r w:rsidR="00BB17C1" w:rsidRPr="00BB17C1">
        <w:rPr>
          <w:rStyle w:val="Strong"/>
          <w:rFonts w:ascii="Arial" w:hAnsi="Arial" w:cs="Arial"/>
          <w:color w:val="666666"/>
          <w:sz w:val="24"/>
          <w:szCs w:val="24"/>
        </w:rPr>
        <w:t>”</w:t>
      </w:r>
      <w:r w:rsidR="00BB17C1" w:rsidRPr="00BB17C1">
        <w:rPr>
          <w:rFonts w:ascii="Arial" w:hAnsi="Arial" w:cs="Arial"/>
          <w:color w:val="666666"/>
          <w:sz w:val="24"/>
          <w:szCs w:val="24"/>
        </w:rPr>
        <w:t>.</w:t>
      </w:r>
      <w:proofErr w:type="gramEnd"/>
      <w:r w:rsidR="00BB17C1">
        <w:rPr>
          <w:rFonts w:ascii="Arial" w:hAnsi="Arial" w:cs="Arial"/>
          <w:color w:val="666666"/>
          <w:sz w:val="24"/>
          <w:szCs w:val="24"/>
        </w:rPr>
        <w:t xml:space="preserve"> </w:t>
      </w:r>
      <w:r w:rsidR="002306C6" w:rsidRPr="002306C6">
        <w:rPr>
          <w:rFonts w:ascii="Arial" w:hAnsi="Arial" w:cs="Arial"/>
          <w:color w:val="666666"/>
          <w:sz w:val="24"/>
          <w:szCs w:val="24"/>
        </w:rPr>
        <w:t>The difference in price is attributable to the </w:t>
      </w:r>
      <w:r w:rsidR="002306C6" w:rsidRPr="002306C6">
        <w:rPr>
          <w:rStyle w:val="Strong"/>
          <w:rFonts w:ascii="Arial" w:hAnsi="Arial" w:cs="Arial"/>
          <w:color w:val="666666"/>
          <w:sz w:val="24"/>
          <w:szCs w:val="24"/>
        </w:rPr>
        <w:t>‘Spot – Future Parity</w:t>
      </w:r>
      <w:proofErr w:type="gramStart"/>
      <w:r w:rsidR="002306C6" w:rsidRPr="002306C6">
        <w:rPr>
          <w:rStyle w:val="Strong"/>
          <w:rFonts w:ascii="Arial" w:hAnsi="Arial" w:cs="Arial"/>
          <w:color w:val="666666"/>
          <w:sz w:val="24"/>
          <w:szCs w:val="24"/>
        </w:rPr>
        <w:t>’</w:t>
      </w:r>
      <w:r w:rsidR="002306C6" w:rsidRPr="002306C6">
        <w:rPr>
          <w:rFonts w:ascii="Arial" w:hAnsi="Arial" w:cs="Arial"/>
          <w:color w:val="666666"/>
          <w:sz w:val="24"/>
          <w:szCs w:val="24"/>
        </w:rPr>
        <w:t>.</w:t>
      </w:r>
      <w:proofErr w:type="gramEnd"/>
      <w:r w:rsidR="002306C6" w:rsidRPr="002306C6">
        <w:rPr>
          <w:rFonts w:ascii="Arial" w:hAnsi="Arial" w:cs="Arial"/>
          <w:color w:val="666666"/>
          <w:sz w:val="24"/>
          <w:szCs w:val="24"/>
        </w:rPr>
        <w:t xml:space="preserve"> The spot future parity the difference between the spot and futures price that arises due to variables such as interest rates, dividends, time to expiry etc. In a very loose </w:t>
      </w:r>
      <w:proofErr w:type="gramStart"/>
      <w:r w:rsidR="002306C6" w:rsidRPr="002306C6">
        <w:rPr>
          <w:rFonts w:ascii="Arial" w:hAnsi="Arial" w:cs="Arial"/>
          <w:color w:val="666666"/>
          <w:sz w:val="24"/>
          <w:szCs w:val="24"/>
        </w:rPr>
        <w:t>sense</w:t>
      </w:r>
      <w:proofErr w:type="gramEnd"/>
      <w:r w:rsidR="002306C6" w:rsidRPr="002306C6">
        <w:rPr>
          <w:rFonts w:ascii="Arial" w:hAnsi="Arial" w:cs="Arial"/>
          <w:color w:val="666666"/>
          <w:sz w:val="24"/>
          <w:szCs w:val="24"/>
        </w:rPr>
        <w:t xml:space="preserve"> it is simply is a mathematical expression to equate the underlying price and its corresponding futures price. This is also known as the </w:t>
      </w:r>
      <w:r w:rsidR="002306C6" w:rsidRPr="002306C6">
        <w:rPr>
          <w:rStyle w:val="Strong"/>
          <w:rFonts w:ascii="Arial" w:hAnsi="Arial" w:cs="Arial"/>
          <w:color w:val="666666"/>
          <w:sz w:val="24"/>
          <w:szCs w:val="24"/>
        </w:rPr>
        <w:t>futures pricing formula</w:t>
      </w:r>
      <w:r w:rsidR="002306C6" w:rsidRPr="002306C6">
        <w:rPr>
          <w:rFonts w:ascii="Arial" w:hAnsi="Arial" w:cs="Arial"/>
          <w:color w:val="666666"/>
          <w:sz w:val="24"/>
          <w:szCs w:val="24"/>
        </w:rPr>
        <w:t>.</w:t>
      </w:r>
      <w:r w:rsidR="002306C6">
        <w:rPr>
          <w:rFonts w:ascii="Arial" w:eastAsia="Times New Roman" w:hAnsi="Arial" w:cs="Arial"/>
          <w:kern w:val="0"/>
          <w:sz w:val="24"/>
          <w:szCs w:val="24"/>
          <w:lang w:eastAsia="en-IN"/>
          <w14:ligatures w14:val="none"/>
        </w:rPr>
        <w:t xml:space="preserve"> </w:t>
      </w:r>
      <w:r w:rsidRPr="0037598C">
        <w:rPr>
          <w:rFonts w:ascii="Arial" w:eastAsia="Times New Roman" w:hAnsi="Arial" w:cs="Arial"/>
          <w:kern w:val="0"/>
          <w:sz w:val="24"/>
          <w:szCs w:val="24"/>
          <w:lang w:eastAsia="en-IN"/>
          <w14:ligatures w14:val="none"/>
        </w:rPr>
        <w:t>Calculation of futures price is based on a simple mathematical formula that equates underlying asset price and futures price. </w:t>
      </w:r>
    </w:p>
    <w:p w14:paraId="71072196" w14:textId="77777777"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The formula for futures pricing is given below: </w:t>
      </w:r>
    </w:p>
    <w:p w14:paraId="39A07A8B" w14:textId="77777777"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Futures price = Spot price*(1+rf) – d</w:t>
      </w:r>
    </w:p>
    <w:p w14:paraId="5C89F47F" w14:textId="77777777"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Where rf is the risk-free rate and d is the dividend</w:t>
      </w:r>
    </w:p>
    <w:p w14:paraId="33758959" w14:textId="77777777"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Here rf is the interest rate that one can earn throughout the year in normal circumstances. However, traders can adjust it proportionately for one, two or three months depending on the expiry of the contract. The adjusted formula looks like this: </w:t>
      </w:r>
    </w:p>
    <w:p w14:paraId="3F22F3AC" w14:textId="77777777" w:rsidR="0037598C" w:rsidRPr="0037598C"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Future price = Spot price*[1+rf(X/365)-d]</w:t>
      </w:r>
    </w:p>
    <w:p w14:paraId="41FE7A7F" w14:textId="5AAE27C3" w:rsidR="001C3EE8" w:rsidRDefault="0037598C" w:rsidP="001C3EE8">
      <w:pPr>
        <w:spacing w:before="100" w:beforeAutospacing="1" w:after="0" w:line="420" w:lineRule="atLeast"/>
        <w:jc w:val="both"/>
        <w:rPr>
          <w:rFonts w:ascii="Arial" w:eastAsia="Times New Roman" w:hAnsi="Arial" w:cs="Arial"/>
          <w:kern w:val="0"/>
          <w:sz w:val="24"/>
          <w:szCs w:val="24"/>
          <w:lang w:eastAsia="en-IN"/>
          <w14:ligatures w14:val="none"/>
        </w:rPr>
      </w:pPr>
      <w:r w:rsidRPr="0037598C">
        <w:rPr>
          <w:rFonts w:ascii="Arial" w:eastAsia="Times New Roman" w:hAnsi="Arial" w:cs="Arial"/>
          <w:kern w:val="0"/>
          <w:sz w:val="24"/>
          <w:szCs w:val="24"/>
          <w:lang w:eastAsia="en-IN"/>
          <w14:ligatures w14:val="none"/>
        </w:rPr>
        <w:t>Here X denotes the number of days to expiry.</w:t>
      </w:r>
    </w:p>
    <w:p w14:paraId="72D54793" w14:textId="77777777" w:rsidR="00086A33" w:rsidRDefault="00086A33" w:rsidP="00086A33">
      <w:pPr>
        <w:spacing w:before="100" w:beforeAutospacing="1" w:after="0" w:line="420" w:lineRule="atLeast"/>
        <w:jc w:val="both"/>
        <w:rPr>
          <w:rFonts w:ascii="Arial" w:eastAsia="Times New Roman" w:hAnsi="Arial" w:cs="Arial"/>
          <w:kern w:val="0"/>
          <w:sz w:val="24"/>
          <w:szCs w:val="24"/>
          <w:lang w:eastAsia="en-IN"/>
          <w14:ligatures w14:val="none"/>
        </w:rPr>
      </w:pPr>
    </w:p>
    <w:p w14:paraId="18A1B20A" w14:textId="7987E9A0" w:rsidR="007D35D4" w:rsidRDefault="007D35D4" w:rsidP="001C3EE8">
      <w:pPr>
        <w:pStyle w:val="NormalWeb"/>
        <w:spacing w:before="0" w:beforeAutospacing="0" w:after="0" w:afterAutospacing="0"/>
        <w:rPr>
          <w:rFonts w:ascii="Arial" w:hAnsi="Arial" w:cs="Arial"/>
          <w:color w:val="666666"/>
        </w:rPr>
      </w:pPr>
      <w:r>
        <w:rPr>
          <w:rFonts w:ascii="Arial" w:hAnsi="Arial" w:cs="Arial"/>
          <w:color w:val="666666"/>
        </w:rPr>
        <w:t xml:space="preserve">One can take the RBI’s </w:t>
      </w:r>
      <w:proofErr w:type="gramStart"/>
      <w:r>
        <w:rPr>
          <w:rFonts w:ascii="Arial" w:hAnsi="Arial" w:cs="Arial"/>
          <w:color w:val="666666"/>
        </w:rPr>
        <w:t>91 day</w:t>
      </w:r>
      <w:proofErr w:type="gramEnd"/>
      <w:r>
        <w:rPr>
          <w:rFonts w:ascii="Arial" w:hAnsi="Arial" w:cs="Arial"/>
          <w:color w:val="666666"/>
        </w:rPr>
        <w:t xml:space="preserve"> Treasury bill as a proxy for the short term risk-free rate. As we can see from the image above, the current rate is </w:t>
      </w:r>
      <w:r w:rsidR="00086A33" w:rsidRPr="00086A33">
        <w:rPr>
          <w:rFonts w:ascii="Arial" w:hAnsi="Arial" w:cs="Arial"/>
          <w:b/>
          <w:bCs/>
          <w:color w:val="666666"/>
        </w:rPr>
        <w:t>6.7810%</w:t>
      </w:r>
      <w:r>
        <w:rPr>
          <w:rFonts w:ascii="Arial" w:hAnsi="Arial" w:cs="Arial"/>
          <w:color w:val="666666"/>
        </w:rPr>
        <w:t xml:space="preserve">. Keeping this in perspective let us work on a pricing example. Assume </w:t>
      </w:r>
      <w:r w:rsidRPr="002343A3">
        <w:rPr>
          <w:rFonts w:ascii="Arial" w:hAnsi="Arial" w:cs="Arial"/>
          <w:b/>
          <w:bCs/>
          <w:color w:val="666666"/>
        </w:rPr>
        <w:t>Infosys</w:t>
      </w:r>
      <w:r>
        <w:rPr>
          <w:rFonts w:ascii="Arial" w:hAnsi="Arial" w:cs="Arial"/>
          <w:color w:val="666666"/>
        </w:rPr>
        <w:t xml:space="preserve"> </w:t>
      </w:r>
      <w:r w:rsidRPr="002343A3">
        <w:rPr>
          <w:rFonts w:ascii="Arial" w:hAnsi="Arial" w:cs="Arial"/>
          <w:b/>
          <w:bCs/>
          <w:color w:val="666666"/>
        </w:rPr>
        <w:t>spot</w:t>
      </w:r>
      <w:r>
        <w:rPr>
          <w:rFonts w:ascii="Arial" w:hAnsi="Arial" w:cs="Arial"/>
          <w:color w:val="666666"/>
        </w:rPr>
        <w:t xml:space="preserve"> is trading at </w:t>
      </w:r>
      <w:r w:rsidR="00BD5F6C" w:rsidRPr="00BD5F6C">
        <w:rPr>
          <w:rFonts w:ascii="Arial" w:hAnsi="Arial" w:cs="Arial"/>
          <w:b/>
          <w:bCs/>
          <w:color w:val="666666"/>
        </w:rPr>
        <w:t>1657.57</w:t>
      </w:r>
      <w:r w:rsidR="002343A3">
        <w:rPr>
          <w:rFonts w:ascii="Arial" w:hAnsi="Arial" w:cs="Arial"/>
          <w:color w:val="666666"/>
        </w:rPr>
        <w:t>. The August futures of Infosys shares have the expiry date on 29</w:t>
      </w:r>
      <w:r w:rsidR="002343A3" w:rsidRPr="002343A3">
        <w:rPr>
          <w:rFonts w:ascii="Arial" w:hAnsi="Arial" w:cs="Arial"/>
          <w:color w:val="666666"/>
          <w:vertAlign w:val="superscript"/>
        </w:rPr>
        <w:t>th</w:t>
      </w:r>
      <w:r w:rsidR="002343A3">
        <w:rPr>
          <w:rFonts w:ascii="Arial" w:hAnsi="Arial" w:cs="Arial"/>
          <w:color w:val="666666"/>
        </w:rPr>
        <w:t xml:space="preserve"> Aug 2024 </w:t>
      </w:r>
      <w:proofErr w:type="gramStart"/>
      <w:r w:rsidR="002343A3">
        <w:rPr>
          <w:rFonts w:ascii="Arial" w:hAnsi="Arial" w:cs="Arial"/>
          <w:color w:val="666666"/>
        </w:rPr>
        <w:t>imp</w:t>
      </w:r>
      <w:r w:rsidR="00F31FD0">
        <w:rPr>
          <w:rFonts w:ascii="Arial" w:hAnsi="Arial" w:cs="Arial"/>
          <w:color w:val="666666"/>
        </w:rPr>
        <w:t>l</w:t>
      </w:r>
      <w:r w:rsidR="002343A3">
        <w:rPr>
          <w:rFonts w:ascii="Arial" w:hAnsi="Arial" w:cs="Arial"/>
          <w:color w:val="666666"/>
        </w:rPr>
        <w:t>ying  there</w:t>
      </w:r>
      <w:proofErr w:type="gramEnd"/>
      <w:r w:rsidR="002343A3">
        <w:rPr>
          <w:rFonts w:ascii="Arial" w:hAnsi="Arial" w:cs="Arial"/>
          <w:color w:val="666666"/>
        </w:rPr>
        <w:t xml:space="preserve"> are 52</w:t>
      </w:r>
      <w:r>
        <w:rPr>
          <w:rFonts w:ascii="Arial" w:hAnsi="Arial" w:cs="Arial"/>
          <w:color w:val="666666"/>
        </w:rPr>
        <w:t xml:space="preserve"> more days to expiry</w:t>
      </w:r>
      <w:r w:rsidR="00F31FD0">
        <w:rPr>
          <w:rFonts w:ascii="Arial" w:hAnsi="Arial" w:cs="Arial"/>
          <w:color w:val="666666"/>
        </w:rPr>
        <w:t xml:space="preserve"> (as on 9</w:t>
      </w:r>
      <w:r w:rsidR="00F31FD0" w:rsidRPr="00F31FD0">
        <w:rPr>
          <w:rFonts w:ascii="Arial" w:hAnsi="Arial" w:cs="Arial"/>
          <w:color w:val="666666"/>
          <w:vertAlign w:val="superscript"/>
        </w:rPr>
        <w:t>th</w:t>
      </w:r>
      <w:r w:rsidR="00F31FD0">
        <w:rPr>
          <w:rFonts w:ascii="Arial" w:hAnsi="Arial" w:cs="Arial"/>
          <w:color w:val="666666"/>
        </w:rPr>
        <w:t xml:space="preserve"> July)</w:t>
      </w:r>
      <w:r w:rsidR="002343A3">
        <w:rPr>
          <w:rFonts w:ascii="Arial" w:hAnsi="Arial" w:cs="Arial"/>
          <w:color w:val="666666"/>
        </w:rPr>
        <w:t xml:space="preserve">. </w:t>
      </w:r>
      <w:r w:rsidR="00F31FD0">
        <w:rPr>
          <w:rFonts w:ascii="Arial" w:hAnsi="Arial" w:cs="Arial"/>
          <w:color w:val="666666"/>
        </w:rPr>
        <w:t xml:space="preserve">Assuming there is no expectation of dividend before August, </w:t>
      </w:r>
      <w:r>
        <w:rPr>
          <w:rFonts w:ascii="Arial" w:hAnsi="Arial" w:cs="Arial"/>
          <w:color w:val="666666"/>
        </w:rPr>
        <w:t xml:space="preserve">Infosys’s </w:t>
      </w:r>
      <w:r w:rsidR="00F31FD0">
        <w:rPr>
          <w:rFonts w:ascii="Arial" w:hAnsi="Arial" w:cs="Arial"/>
          <w:color w:val="666666"/>
        </w:rPr>
        <w:t>Aug</w:t>
      </w:r>
      <w:r>
        <w:rPr>
          <w:rFonts w:ascii="Arial" w:hAnsi="Arial" w:cs="Arial"/>
          <w:color w:val="666666"/>
        </w:rPr>
        <w:t xml:space="preserve"> month futures contract be priced at</w:t>
      </w:r>
      <w:r w:rsidR="00F31FD0">
        <w:rPr>
          <w:rFonts w:ascii="Arial" w:hAnsi="Arial" w:cs="Arial"/>
          <w:color w:val="666666"/>
        </w:rPr>
        <w:t xml:space="preserve"> : </w:t>
      </w:r>
    </w:p>
    <w:p w14:paraId="0E37EA26" w14:textId="251FF4A8" w:rsidR="007D35D4" w:rsidRDefault="007D35D4" w:rsidP="001C3EE8">
      <w:pPr>
        <w:pStyle w:val="NormalWeb"/>
        <w:spacing w:before="0" w:beforeAutospacing="0" w:after="0" w:afterAutospacing="0"/>
        <w:rPr>
          <w:rFonts w:ascii="Arial" w:hAnsi="Arial" w:cs="Arial"/>
          <w:color w:val="666666"/>
        </w:rPr>
      </w:pPr>
      <w:r>
        <w:rPr>
          <w:rStyle w:val="Strong"/>
          <w:rFonts w:ascii="Arial" w:hAnsi="Arial" w:cs="Arial"/>
          <w:color w:val="666666"/>
        </w:rPr>
        <w:t>Futures Price</w:t>
      </w:r>
      <w:r w:rsidR="00F31FD0">
        <w:rPr>
          <w:rStyle w:val="Strong"/>
          <w:rFonts w:ascii="Arial" w:hAnsi="Arial" w:cs="Arial"/>
          <w:color w:val="666666"/>
        </w:rPr>
        <w:t xml:space="preserve"> (Aug)</w:t>
      </w:r>
      <w:r>
        <w:rPr>
          <w:rStyle w:val="Strong"/>
          <w:rFonts w:ascii="Arial" w:hAnsi="Arial" w:cs="Arial"/>
          <w:color w:val="666666"/>
        </w:rPr>
        <w:t xml:space="preserve"> =</w:t>
      </w:r>
      <w:r w:rsidR="00BD5F6C">
        <w:rPr>
          <w:rStyle w:val="Strong"/>
          <w:rFonts w:ascii="Arial" w:hAnsi="Arial" w:cs="Arial"/>
          <w:color w:val="666666"/>
        </w:rPr>
        <w:t xml:space="preserve"> 1657.</w:t>
      </w:r>
      <w:r w:rsidR="002343A3">
        <w:rPr>
          <w:rStyle w:val="Strong"/>
          <w:rFonts w:ascii="Arial" w:hAnsi="Arial" w:cs="Arial"/>
          <w:color w:val="666666"/>
        </w:rPr>
        <w:t>57</w:t>
      </w:r>
      <w:r>
        <w:rPr>
          <w:rStyle w:val="Strong"/>
          <w:rFonts w:ascii="Arial" w:hAnsi="Arial" w:cs="Arial"/>
          <w:color w:val="666666"/>
        </w:rPr>
        <w:t xml:space="preserve"> * [1+</w:t>
      </w:r>
      <w:r w:rsidR="00BD5F6C">
        <w:rPr>
          <w:rStyle w:val="Strong"/>
          <w:rFonts w:ascii="Arial" w:hAnsi="Arial" w:cs="Arial"/>
          <w:color w:val="666666"/>
        </w:rPr>
        <w:t>6.7810</w:t>
      </w:r>
      <w:r>
        <w:rPr>
          <w:rStyle w:val="Strong"/>
          <w:rFonts w:ascii="Arial" w:hAnsi="Arial" w:cs="Arial"/>
          <w:color w:val="666666"/>
        </w:rPr>
        <w:t xml:space="preserve"> </w:t>
      </w:r>
      <w:proofErr w:type="gramStart"/>
      <w:r>
        <w:rPr>
          <w:rStyle w:val="Strong"/>
          <w:rFonts w:ascii="Arial" w:hAnsi="Arial" w:cs="Arial"/>
          <w:color w:val="666666"/>
        </w:rPr>
        <w:t xml:space="preserve">%( </w:t>
      </w:r>
      <w:r w:rsidR="00F31FD0">
        <w:rPr>
          <w:rStyle w:val="Strong"/>
          <w:rFonts w:ascii="Arial" w:hAnsi="Arial" w:cs="Arial"/>
          <w:color w:val="666666"/>
        </w:rPr>
        <w:t>52</w:t>
      </w:r>
      <w:proofErr w:type="gramEnd"/>
      <w:r>
        <w:rPr>
          <w:rStyle w:val="Strong"/>
          <w:rFonts w:ascii="Arial" w:hAnsi="Arial" w:cs="Arial"/>
          <w:color w:val="666666"/>
        </w:rPr>
        <w:t>/365) – 0</w:t>
      </w:r>
      <w:r w:rsidR="00F31FD0">
        <w:rPr>
          <w:rStyle w:val="Strong"/>
          <w:rFonts w:ascii="Arial" w:hAnsi="Arial" w:cs="Arial"/>
          <w:color w:val="666666"/>
        </w:rPr>
        <w:t>] = 1673.58</w:t>
      </w:r>
    </w:p>
    <w:p w14:paraId="121E7658" w14:textId="1F1F9A18" w:rsidR="007D35D4" w:rsidRDefault="007D35D4" w:rsidP="001C3EE8">
      <w:pPr>
        <w:pStyle w:val="NormalWeb"/>
        <w:spacing w:before="0" w:beforeAutospacing="0" w:after="0" w:afterAutospacing="0"/>
        <w:rPr>
          <w:rStyle w:val="Strong"/>
          <w:rFonts w:ascii="Arial" w:hAnsi="Arial" w:cs="Arial"/>
          <w:color w:val="666666"/>
        </w:rPr>
      </w:pPr>
      <w:r>
        <w:rPr>
          <w:rFonts w:ascii="Arial" w:hAnsi="Arial" w:cs="Arial"/>
          <w:color w:val="666666"/>
        </w:rPr>
        <w:lastRenderedPageBreak/>
        <w:t>This is called the </w:t>
      </w:r>
      <w:r>
        <w:rPr>
          <w:rStyle w:val="Strong"/>
          <w:rFonts w:ascii="Arial" w:hAnsi="Arial" w:cs="Arial"/>
          <w:color w:val="666666"/>
        </w:rPr>
        <w:t>‘Fair value’</w:t>
      </w:r>
      <w:r>
        <w:rPr>
          <w:rFonts w:ascii="Arial" w:hAnsi="Arial" w:cs="Arial"/>
          <w:color w:val="666666"/>
        </w:rPr>
        <w:t> of futures. However the actual</w:t>
      </w:r>
      <w:r w:rsidR="00F31FD0">
        <w:rPr>
          <w:rFonts w:ascii="Arial" w:hAnsi="Arial" w:cs="Arial"/>
          <w:color w:val="666666"/>
        </w:rPr>
        <w:t xml:space="preserve"> </w:t>
      </w:r>
      <w:proofErr w:type="gramStart"/>
      <w:r w:rsidR="00F31FD0">
        <w:rPr>
          <w:rFonts w:ascii="Arial" w:hAnsi="Arial" w:cs="Arial"/>
          <w:color w:val="666666"/>
        </w:rPr>
        <w:t xml:space="preserve">Aug </w:t>
      </w:r>
      <w:r>
        <w:rPr>
          <w:rFonts w:ascii="Arial" w:hAnsi="Arial" w:cs="Arial"/>
          <w:color w:val="666666"/>
        </w:rPr>
        <w:t xml:space="preserve"> futures</w:t>
      </w:r>
      <w:proofErr w:type="gramEnd"/>
      <w:r>
        <w:rPr>
          <w:rFonts w:ascii="Arial" w:hAnsi="Arial" w:cs="Arial"/>
          <w:color w:val="666666"/>
        </w:rPr>
        <w:t xml:space="preserve"> price </w:t>
      </w:r>
      <w:r w:rsidR="00EB62D9">
        <w:rPr>
          <w:rFonts w:ascii="Arial" w:hAnsi="Arial" w:cs="Arial"/>
          <w:color w:val="666666"/>
        </w:rPr>
        <w:t xml:space="preserve">is </w:t>
      </w:r>
      <w:r w:rsidR="00F31FD0">
        <w:rPr>
          <w:rFonts w:ascii="Arial" w:hAnsi="Arial" w:cs="Arial"/>
          <w:color w:val="666666"/>
        </w:rPr>
        <w:t>1669.16, moving in the range from 1663 to 1676</w:t>
      </w:r>
      <w:r>
        <w:rPr>
          <w:rFonts w:ascii="Arial" w:hAnsi="Arial" w:cs="Arial"/>
          <w:color w:val="666666"/>
        </w:rPr>
        <w:t>. The actual price at which the futures contract trades is called the </w:t>
      </w:r>
      <w:r>
        <w:rPr>
          <w:rStyle w:val="Strong"/>
          <w:rFonts w:ascii="Arial" w:hAnsi="Arial" w:cs="Arial"/>
          <w:color w:val="666666"/>
        </w:rPr>
        <w:t>‘Market Price</w:t>
      </w:r>
      <w:proofErr w:type="gramStart"/>
      <w:r>
        <w:rPr>
          <w:rStyle w:val="Strong"/>
          <w:rFonts w:ascii="Arial" w:hAnsi="Arial" w:cs="Arial"/>
          <w:color w:val="666666"/>
        </w:rPr>
        <w:t>’.</w:t>
      </w:r>
      <w:proofErr w:type="gramEnd"/>
    </w:p>
    <w:p w14:paraId="29212F51" w14:textId="77777777" w:rsidR="006A53BA" w:rsidRDefault="006A53BA" w:rsidP="001C3EE8">
      <w:pPr>
        <w:pStyle w:val="NormalWeb"/>
        <w:spacing w:before="0" w:beforeAutospacing="0" w:after="0" w:afterAutospacing="0"/>
        <w:rPr>
          <w:rStyle w:val="Strong"/>
          <w:rFonts w:ascii="Arial" w:hAnsi="Arial" w:cs="Arial"/>
          <w:color w:val="666666"/>
        </w:rPr>
      </w:pPr>
    </w:p>
    <w:p w14:paraId="3D942C1A" w14:textId="5B90DDF6" w:rsidR="006A53BA" w:rsidRDefault="00A26EDC" w:rsidP="001C3EE8">
      <w:pPr>
        <w:pStyle w:val="NormalWeb"/>
        <w:spacing w:before="0" w:beforeAutospacing="0" w:after="0" w:afterAutospacing="0"/>
        <w:rPr>
          <w:rStyle w:val="Strong"/>
          <w:rFonts w:ascii="Arial" w:hAnsi="Arial" w:cs="Arial"/>
          <w:b w:val="0"/>
          <w:bCs w:val="0"/>
          <w:color w:val="666666"/>
        </w:rPr>
      </w:pPr>
      <w:r>
        <w:rPr>
          <w:rStyle w:val="Strong"/>
          <w:rFonts w:ascii="Arial" w:hAnsi="Arial" w:cs="Arial"/>
          <w:b w:val="0"/>
          <w:bCs w:val="0"/>
          <w:color w:val="666666"/>
        </w:rPr>
        <w:t>Assuming spot prices of an Infosys share at 1657.57 and no dividend expected in the next 3 months, i</w:t>
      </w:r>
      <w:r w:rsidR="006A53BA">
        <w:rPr>
          <w:rStyle w:val="Strong"/>
          <w:rFonts w:ascii="Arial" w:hAnsi="Arial" w:cs="Arial"/>
          <w:b w:val="0"/>
          <w:bCs w:val="0"/>
          <w:color w:val="666666"/>
        </w:rPr>
        <w:t>n case of Infosys futures, near month (July), next month (Aug), far month</w:t>
      </w:r>
      <w:r>
        <w:rPr>
          <w:rStyle w:val="Strong"/>
          <w:rFonts w:ascii="Arial" w:hAnsi="Arial" w:cs="Arial"/>
          <w:b w:val="0"/>
          <w:bCs w:val="0"/>
          <w:color w:val="666666"/>
        </w:rPr>
        <w:t xml:space="preserve"> (Sep)</w:t>
      </w:r>
      <w:r w:rsidR="006A53BA">
        <w:rPr>
          <w:rStyle w:val="Strong"/>
          <w:rFonts w:ascii="Arial" w:hAnsi="Arial" w:cs="Arial"/>
          <w:b w:val="0"/>
          <w:bCs w:val="0"/>
          <w:color w:val="666666"/>
        </w:rPr>
        <w:t xml:space="preserve"> prices should be </w:t>
      </w:r>
    </w:p>
    <w:p w14:paraId="1B036299" w14:textId="77777777" w:rsidR="00A26EDC" w:rsidRDefault="00A26EDC" w:rsidP="001C3EE8">
      <w:pPr>
        <w:pStyle w:val="NormalWeb"/>
        <w:spacing w:before="0" w:beforeAutospacing="0" w:after="0" w:afterAutospacing="0"/>
        <w:rPr>
          <w:rStyle w:val="Strong"/>
          <w:rFonts w:ascii="Arial" w:hAnsi="Arial" w:cs="Arial"/>
          <w:b w:val="0"/>
          <w:bCs w:val="0"/>
          <w:color w:val="666666"/>
        </w:rPr>
      </w:pPr>
    </w:p>
    <w:p w14:paraId="699814B2" w14:textId="77777777" w:rsidR="00A26EDC" w:rsidRDefault="006A53BA" w:rsidP="001C3EE8">
      <w:pPr>
        <w:pStyle w:val="NormalWeb"/>
        <w:spacing w:before="0" w:beforeAutospacing="0" w:after="0" w:afterAutospacing="0"/>
        <w:rPr>
          <w:rStyle w:val="Strong"/>
          <w:rFonts w:ascii="Arial" w:hAnsi="Arial" w:cs="Arial"/>
          <w:b w:val="0"/>
          <w:bCs w:val="0"/>
          <w:color w:val="666666"/>
        </w:rPr>
      </w:pPr>
      <w:r>
        <w:rPr>
          <w:rStyle w:val="Strong"/>
          <w:rFonts w:ascii="Arial" w:hAnsi="Arial" w:cs="Arial"/>
          <w:b w:val="0"/>
          <w:bCs w:val="0"/>
          <w:color w:val="666666"/>
        </w:rPr>
        <w:t xml:space="preserve">Near month </w:t>
      </w:r>
      <w:proofErr w:type="gramStart"/>
      <w:r>
        <w:rPr>
          <w:rStyle w:val="Strong"/>
          <w:rFonts w:ascii="Arial" w:hAnsi="Arial" w:cs="Arial"/>
          <w:b w:val="0"/>
          <w:bCs w:val="0"/>
          <w:color w:val="666666"/>
        </w:rPr>
        <w:t>( expiry</w:t>
      </w:r>
      <w:proofErr w:type="gramEnd"/>
      <w:r>
        <w:rPr>
          <w:rStyle w:val="Strong"/>
          <w:rFonts w:ascii="Arial" w:hAnsi="Arial" w:cs="Arial"/>
          <w:b w:val="0"/>
          <w:bCs w:val="0"/>
          <w:color w:val="666666"/>
        </w:rPr>
        <w:t xml:space="preserve"> 24</w:t>
      </w:r>
      <w:r w:rsidRPr="006A53BA">
        <w:rPr>
          <w:rStyle w:val="Strong"/>
          <w:rFonts w:ascii="Arial" w:hAnsi="Arial" w:cs="Arial"/>
          <w:b w:val="0"/>
          <w:bCs w:val="0"/>
          <w:color w:val="666666"/>
          <w:vertAlign w:val="superscript"/>
        </w:rPr>
        <w:t>th</w:t>
      </w:r>
      <w:r>
        <w:rPr>
          <w:rStyle w:val="Strong"/>
          <w:rFonts w:ascii="Arial" w:hAnsi="Arial" w:cs="Arial"/>
          <w:b w:val="0"/>
          <w:bCs w:val="0"/>
          <w:color w:val="666666"/>
        </w:rPr>
        <w:t xml:space="preserve"> July) future price = 1657.57 [ 1+</w:t>
      </w:r>
      <w:r w:rsidR="00A26EDC">
        <w:rPr>
          <w:rStyle w:val="Strong"/>
          <w:rFonts w:ascii="Arial" w:hAnsi="Arial" w:cs="Arial"/>
          <w:b w:val="0"/>
          <w:bCs w:val="0"/>
          <w:color w:val="666666"/>
        </w:rPr>
        <w:t xml:space="preserve"> 6.7810%(16/365) -0]</w:t>
      </w:r>
    </w:p>
    <w:p w14:paraId="0A03DAF9" w14:textId="708C00CC" w:rsidR="00A26EDC" w:rsidRPr="004C31C7" w:rsidRDefault="00A26EDC" w:rsidP="001C3EE8">
      <w:pPr>
        <w:pStyle w:val="NormalWeb"/>
        <w:spacing w:before="0" w:beforeAutospacing="0" w:after="0" w:afterAutospacing="0"/>
        <w:rPr>
          <w:rStyle w:val="Strong"/>
          <w:rFonts w:ascii="Arial" w:hAnsi="Arial" w:cs="Arial"/>
          <w:b w:val="0"/>
          <w:bCs w:val="0"/>
          <w:i/>
          <w:iCs/>
          <w:color w:val="666666"/>
        </w:rPr>
      </w:pP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t xml:space="preserve">  =   1662.49</w:t>
      </w:r>
      <w:r w:rsidR="004C31C7">
        <w:rPr>
          <w:rStyle w:val="Strong"/>
          <w:rFonts w:ascii="Arial" w:hAnsi="Arial" w:cs="Arial"/>
          <w:b w:val="0"/>
          <w:bCs w:val="0"/>
          <w:color w:val="666666"/>
        </w:rPr>
        <w:t xml:space="preserve"> </w:t>
      </w:r>
      <w:r w:rsidR="004C31C7" w:rsidRPr="004C31C7">
        <w:rPr>
          <w:rStyle w:val="Strong"/>
          <w:rFonts w:ascii="Arial" w:hAnsi="Arial" w:cs="Arial"/>
          <w:b w:val="0"/>
          <w:bCs w:val="0"/>
          <w:i/>
          <w:iCs/>
          <w:color w:val="666666"/>
        </w:rPr>
        <w:t>(MP =1659)</w:t>
      </w:r>
    </w:p>
    <w:p w14:paraId="006F00F0" w14:textId="7559B42B" w:rsidR="006A53BA" w:rsidRDefault="00A26EDC" w:rsidP="001C3EE8">
      <w:pPr>
        <w:pStyle w:val="NormalWeb"/>
        <w:spacing w:before="0" w:beforeAutospacing="0" w:after="0" w:afterAutospacing="0"/>
        <w:rPr>
          <w:rStyle w:val="Strong"/>
          <w:rFonts w:ascii="Arial" w:hAnsi="Arial" w:cs="Arial"/>
          <w:b w:val="0"/>
          <w:bCs w:val="0"/>
          <w:color w:val="666666"/>
        </w:rPr>
      </w:pPr>
      <w:r>
        <w:rPr>
          <w:rStyle w:val="Strong"/>
          <w:rFonts w:ascii="Arial" w:hAnsi="Arial" w:cs="Arial"/>
          <w:b w:val="0"/>
          <w:bCs w:val="0"/>
          <w:color w:val="666666"/>
        </w:rPr>
        <w:t>Next month (expiry 29</w:t>
      </w:r>
      <w:r w:rsidRPr="00A26EDC">
        <w:rPr>
          <w:rStyle w:val="Strong"/>
          <w:rFonts w:ascii="Arial" w:hAnsi="Arial" w:cs="Arial"/>
          <w:b w:val="0"/>
          <w:bCs w:val="0"/>
          <w:color w:val="666666"/>
          <w:vertAlign w:val="superscript"/>
        </w:rPr>
        <w:t>th</w:t>
      </w:r>
      <w:r>
        <w:rPr>
          <w:rStyle w:val="Strong"/>
          <w:rFonts w:ascii="Arial" w:hAnsi="Arial" w:cs="Arial"/>
          <w:b w:val="0"/>
          <w:bCs w:val="0"/>
          <w:color w:val="666666"/>
        </w:rPr>
        <w:t xml:space="preserve"> Aug) future price = 1657.57 [ 1 + 6.7810</w:t>
      </w:r>
      <w:proofErr w:type="gramStart"/>
      <w:r>
        <w:rPr>
          <w:rStyle w:val="Strong"/>
          <w:rFonts w:ascii="Arial" w:hAnsi="Arial" w:cs="Arial"/>
          <w:b w:val="0"/>
          <w:bCs w:val="0"/>
          <w:color w:val="666666"/>
        </w:rPr>
        <w:t>%(</w:t>
      </w:r>
      <w:proofErr w:type="gramEnd"/>
      <w:r>
        <w:rPr>
          <w:rStyle w:val="Strong"/>
          <w:rFonts w:ascii="Arial" w:hAnsi="Arial" w:cs="Arial"/>
          <w:b w:val="0"/>
          <w:bCs w:val="0"/>
          <w:color w:val="666666"/>
        </w:rPr>
        <w:t>52/365)-0]</w:t>
      </w:r>
    </w:p>
    <w:p w14:paraId="7A46F493" w14:textId="4BE9CD78" w:rsidR="00A26EDC" w:rsidRDefault="00A26EDC" w:rsidP="001C3EE8">
      <w:pPr>
        <w:pStyle w:val="NormalWeb"/>
        <w:spacing w:before="0" w:beforeAutospacing="0" w:after="0" w:afterAutospacing="0"/>
        <w:rPr>
          <w:rStyle w:val="Strong"/>
          <w:rFonts w:ascii="Arial" w:hAnsi="Arial" w:cs="Arial"/>
          <w:b w:val="0"/>
          <w:bCs w:val="0"/>
          <w:color w:val="666666"/>
        </w:rPr>
      </w:pP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t xml:space="preserve">            = 1673.58</w:t>
      </w:r>
      <w:r w:rsidR="004C31C7">
        <w:rPr>
          <w:rStyle w:val="Strong"/>
          <w:rFonts w:ascii="Arial" w:hAnsi="Arial" w:cs="Arial"/>
          <w:b w:val="0"/>
          <w:bCs w:val="0"/>
          <w:color w:val="666666"/>
        </w:rPr>
        <w:t xml:space="preserve"> </w:t>
      </w:r>
      <w:r w:rsidR="004C31C7" w:rsidRPr="004C31C7">
        <w:rPr>
          <w:rStyle w:val="Strong"/>
          <w:rFonts w:ascii="Arial" w:hAnsi="Arial" w:cs="Arial"/>
          <w:b w:val="0"/>
          <w:bCs w:val="0"/>
          <w:i/>
          <w:iCs/>
          <w:color w:val="666666"/>
        </w:rPr>
        <w:t>(MP 1669)</w:t>
      </w:r>
    </w:p>
    <w:p w14:paraId="644BF018" w14:textId="5A09AB06" w:rsidR="00A26EDC" w:rsidRDefault="00A26EDC" w:rsidP="001C3EE8">
      <w:pPr>
        <w:pStyle w:val="NormalWeb"/>
        <w:spacing w:before="0" w:beforeAutospacing="0" w:after="0" w:afterAutospacing="0"/>
        <w:rPr>
          <w:rStyle w:val="Strong"/>
          <w:rFonts w:ascii="Arial" w:hAnsi="Arial" w:cs="Arial"/>
          <w:b w:val="0"/>
          <w:bCs w:val="0"/>
          <w:color w:val="666666"/>
        </w:rPr>
      </w:pPr>
      <w:r>
        <w:rPr>
          <w:rStyle w:val="Strong"/>
          <w:rFonts w:ascii="Arial" w:hAnsi="Arial" w:cs="Arial"/>
          <w:b w:val="0"/>
          <w:bCs w:val="0"/>
          <w:color w:val="666666"/>
        </w:rPr>
        <w:t>Far month (expiry 26</w:t>
      </w:r>
      <w:r w:rsidRPr="00A26EDC">
        <w:rPr>
          <w:rStyle w:val="Strong"/>
          <w:rFonts w:ascii="Arial" w:hAnsi="Arial" w:cs="Arial"/>
          <w:b w:val="0"/>
          <w:bCs w:val="0"/>
          <w:color w:val="666666"/>
          <w:vertAlign w:val="superscript"/>
        </w:rPr>
        <w:t>th</w:t>
      </w:r>
      <w:r>
        <w:rPr>
          <w:rStyle w:val="Strong"/>
          <w:rFonts w:ascii="Arial" w:hAnsi="Arial" w:cs="Arial"/>
          <w:b w:val="0"/>
          <w:bCs w:val="0"/>
          <w:color w:val="666666"/>
        </w:rPr>
        <w:t xml:space="preserve"> </w:t>
      </w:r>
      <w:proofErr w:type="gramStart"/>
      <w:r>
        <w:rPr>
          <w:rStyle w:val="Strong"/>
          <w:rFonts w:ascii="Arial" w:hAnsi="Arial" w:cs="Arial"/>
          <w:b w:val="0"/>
          <w:bCs w:val="0"/>
          <w:color w:val="666666"/>
        </w:rPr>
        <w:t>Sep )</w:t>
      </w:r>
      <w:proofErr w:type="gramEnd"/>
      <w:r>
        <w:rPr>
          <w:rStyle w:val="Strong"/>
          <w:rFonts w:ascii="Arial" w:hAnsi="Arial" w:cs="Arial"/>
          <w:b w:val="0"/>
          <w:bCs w:val="0"/>
          <w:color w:val="666666"/>
        </w:rPr>
        <w:t xml:space="preserve"> future price = 1657.57 [ 1 +6.7810%(79/365) -0 ]</w:t>
      </w:r>
    </w:p>
    <w:p w14:paraId="63F80DC3" w14:textId="28C3D1BE" w:rsidR="00A26EDC" w:rsidRPr="006A53BA" w:rsidRDefault="00A26EDC" w:rsidP="001C3EE8">
      <w:pPr>
        <w:pStyle w:val="NormalWeb"/>
        <w:spacing w:before="0" w:beforeAutospacing="0" w:after="0" w:afterAutospacing="0"/>
        <w:rPr>
          <w:rFonts w:ascii="Arial" w:hAnsi="Arial" w:cs="Arial"/>
          <w:color w:val="666666"/>
        </w:rPr>
      </w:pP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r>
      <w:r>
        <w:rPr>
          <w:rStyle w:val="Strong"/>
          <w:rFonts w:ascii="Arial" w:hAnsi="Arial" w:cs="Arial"/>
          <w:b w:val="0"/>
          <w:bCs w:val="0"/>
          <w:color w:val="666666"/>
        </w:rPr>
        <w:tab/>
        <w:t>= 1681.89</w:t>
      </w:r>
      <w:r w:rsidR="004C31C7">
        <w:rPr>
          <w:rStyle w:val="Strong"/>
          <w:rFonts w:ascii="Arial" w:hAnsi="Arial" w:cs="Arial"/>
          <w:b w:val="0"/>
          <w:bCs w:val="0"/>
          <w:color w:val="666666"/>
        </w:rPr>
        <w:t xml:space="preserve"> </w:t>
      </w:r>
      <w:r w:rsidR="004C31C7" w:rsidRPr="004C31C7">
        <w:rPr>
          <w:rStyle w:val="Strong"/>
          <w:rFonts w:ascii="Arial" w:hAnsi="Arial" w:cs="Arial"/>
          <w:b w:val="0"/>
          <w:bCs w:val="0"/>
          <w:i/>
          <w:iCs/>
          <w:color w:val="666666"/>
        </w:rPr>
        <w:t xml:space="preserve">(MP = </w:t>
      </w:r>
      <w:proofErr w:type="gramStart"/>
      <w:r w:rsidR="004C31C7" w:rsidRPr="004C31C7">
        <w:rPr>
          <w:rStyle w:val="Strong"/>
          <w:rFonts w:ascii="Arial" w:hAnsi="Arial" w:cs="Arial"/>
          <w:b w:val="0"/>
          <w:bCs w:val="0"/>
          <w:i/>
          <w:iCs/>
          <w:color w:val="666666"/>
        </w:rPr>
        <w:t>1682 )</w:t>
      </w:r>
      <w:proofErr w:type="gramEnd"/>
    </w:p>
    <w:p w14:paraId="42A9620D" w14:textId="77777777" w:rsidR="0037598C" w:rsidRPr="0037598C" w:rsidRDefault="0037598C" w:rsidP="0037598C">
      <w:pPr>
        <w:pStyle w:val="Heading3"/>
        <w:numPr>
          <w:ilvl w:val="0"/>
          <w:numId w:val="7"/>
        </w:numPr>
        <w:shd w:val="clear" w:color="auto" w:fill="FFFFFF"/>
        <w:tabs>
          <w:tab w:val="clear" w:pos="720"/>
        </w:tabs>
        <w:spacing w:before="225" w:line="525" w:lineRule="atLeast"/>
        <w:rPr>
          <w:rFonts w:ascii="Arial" w:hAnsi="Arial" w:cs="Arial"/>
          <w:color w:val="44475B"/>
        </w:rPr>
      </w:pPr>
      <w:r w:rsidRPr="0037598C">
        <w:rPr>
          <w:rStyle w:val="Strong"/>
          <w:rFonts w:ascii="Arial" w:hAnsi="Arial" w:cs="Arial"/>
          <w:color w:val="44475B"/>
        </w:rPr>
        <w:t>Cost-carry Model</w:t>
      </w:r>
    </w:p>
    <w:p w14:paraId="772367D5" w14:textId="77777777" w:rsidR="0037598C" w:rsidRPr="0037598C" w:rsidRDefault="0037598C" w:rsidP="0037598C">
      <w:pPr>
        <w:pStyle w:val="NormalWeb"/>
        <w:shd w:val="clear" w:color="auto" w:fill="FFFFFF"/>
        <w:spacing w:after="0" w:afterAutospacing="0" w:line="420" w:lineRule="atLeast"/>
        <w:jc w:val="both"/>
        <w:rPr>
          <w:rFonts w:ascii="Arial" w:hAnsi="Arial" w:cs="Arial"/>
          <w:color w:val="44475B"/>
        </w:rPr>
      </w:pPr>
      <w:r w:rsidRPr="0037598C">
        <w:rPr>
          <w:rFonts w:ascii="Arial" w:hAnsi="Arial" w:cs="Arial"/>
          <w:color w:val="44475B"/>
        </w:rPr>
        <w:t>It assumes that markets are perfectly efficient. This means no difference between spot and futures prices, and it thereby eliminates any chance of arbitrage. Arbitrage is a process by which traders take advantage of a price difference in two markets.</w:t>
      </w:r>
    </w:p>
    <w:p w14:paraId="245351CA" w14:textId="77777777" w:rsidR="0037598C" w:rsidRPr="0037598C" w:rsidRDefault="0037598C" w:rsidP="0037598C">
      <w:pPr>
        <w:pStyle w:val="NormalWeb"/>
        <w:shd w:val="clear" w:color="auto" w:fill="FFFFFF"/>
        <w:spacing w:after="0" w:afterAutospacing="0" w:line="420" w:lineRule="atLeast"/>
        <w:jc w:val="both"/>
        <w:rPr>
          <w:rFonts w:ascii="Arial" w:hAnsi="Arial" w:cs="Arial"/>
          <w:color w:val="44475B"/>
        </w:rPr>
      </w:pPr>
      <w:r w:rsidRPr="0037598C">
        <w:rPr>
          <w:rFonts w:ascii="Arial" w:hAnsi="Arial" w:cs="Arial"/>
          <w:color w:val="44475B"/>
        </w:rPr>
        <w:t>Under this model, traders are indifferent towards both markets as their earnings are the same from both. Futures price will be equal to spot price plus the net cost of carrying the assets till expiry.</w:t>
      </w:r>
    </w:p>
    <w:p w14:paraId="2B756C27" w14:textId="77777777" w:rsidR="0037598C" w:rsidRPr="0037598C" w:rsidRDefault="0037598C" w:rsidP="0037598C">
      <w:pPr>
        <w:pStyle w:val="NormalWeb"/>
        <w:shd w:val="clear" w:color="auto" w:fill="FFFFFF"/>
        <w:spacing w:after="0" w:afterAutospacing="0" w:line="420" w:lineRule="atLeast"/>
        <w:jc w:val="both"/>
        <w:rPr>
          <w:rFonts w:ascii="Arial" w:hAnsi="Arial" w:cs="Arial"/>
          <w:color w:val="44475B"/>
        </w:rPr>
      </w:pPr>
      <w:r w:rsidRPr="0037598C">
        <w:rPr>
          <w:rFonts w:ascii="Arial" w:hAnsi="Arial" w:cs="Arial"/>
          <w:color w:val="44475B"/>
        </w:rPr>
        <w:t>Therefore, Futures pricing = Spot pricing + (Carry cost – Carrying return)</w:t>
      </w:r>
    </w:p>
    <w:p w14:paraId="52C2EFBB" w14:textId="77777777" w:rsidR="0037598C" w:rsidRPr="0037598C" w:rsidRDefault="0037598C" w:rsidP="0037598C">
      <w:pPr>
        <w:pStyle w:val="NormalWeb"/>
        <w:shd w:val="clear" w:color="auto" w:fill="FFFFFF"/>
        <w:spacing w:after="0" w:afterAutospacing="0" w:line="420" w:lineRule="atLeast"/>
        <w:jc w:val="both"/>
        <w:rPr>
          <w:rFonts w:ascii="Arial" w:hAnsi="Arial" w:cs="Arial"/>
          <w:color w:val="44475B"/>
        </w:rPr>
      </w:pPr>
      <w:r w:rsidRPr="0037598C">
        <w:rPr>
          <w:rFonts w:ascii="Arial" w:hAnsi="Arial" w:cs="Arial"/>
          <w:color w:val="44475B"/>
        </w:rPr>
        <w:t>Here carrying costs may include storage costs, interest paid to acquire assets or financing costs. Carrying returns will include any income earned with these assets, like dividends and bonuses. The net of these is the net carrying cost.  </w:t>
      </w:r>
    </w:p>
    <w:p w14:paraId="62F634A1" w14:textId="77777777" w:rsidR="0037598C" w:rsidRPr="0037598C" w:rsidRDefault="0037598C" w:rsidP="0037598C">
      <w:pPr>
        <w:spacing w:before="100" w:beforeAutospacing="1" w:after="0" w:line="420" w:lineRule="atLeast"/>
        <w:jc w:val="both"/>
        <w:rPr>
          <w:rFonts w:ascii="Arial" w:eastAsia="Times New Roman" w:hAnsi="Arial" w:cs="Arial"/>
          <w:kern w:val="0"/>
          <w:sz w:val="24"/>
          <w:szCs w:val="24"/>
          <w:lang w:eastAsia="en-IN"/>
          <w14:ligatures w14:val="none"/>
        </w:rPr>
      </w:pPr>
    </w:p>
    <w:p w14:paraId="619C429B" w14:textId="3A32964D" w:rsidR="0037598C" w:rsidRPr="0037598C" w:rsidRDefault="00FF1A83" w:rsidP="0037598C">
      <w:pPr>
        <w:shd w:val="clear" w:color="auto" w:fill="FFFFFF"/>
        <w:spacing w:line="240" w:lineRule="auto"/>
        <w:rPr>
          <w:rFonts w:ascii="system-ui" w:eastAsia="Times New Roman" w:hAnsi="system-ui" w:cs="Times New Roman"/>
          <w:b/>
          <w:bCs/>
          <w:color w:val="44475B"/>
          <w:kern w:val="0"/>
          <w:sz w:val="28"/>
          <w:szCs w:val="28"/>
          <w:lang w:eastAsia="en-IN"/>
          <w14:ligatures w14:val="none"/>
        </w:rPr>
      </w:pPr>
      <w:r>
        <w:rPr>
          <w:rFonts w:ascii="system-ui" w:eastAsia="Times New Roman" w:hAnsi="system-ui" w:cs="Times New Roman"/>
          <w:color w:val="44475B"/>
          <w:kern w:val="0"/>
          <w:sz w:val="24"/>
          <w:szCs w:val="24"/>
          <w:lang w:eastAsia="en-IN"/>
          <w14:ligatures w14:val="none"/>
        </w:rPr>
        <w:tab/>
      </w:r>
      <w:r>
        <w:rPr>
          <w:rFonts w:ascii="system-ui" w:eastAsia="Times New Roman" w:hAnsi="system-ui" w:cs="Times New Roman"/>
          <w:color w:val="44475B"/>
          <w:kern w:val="0"/>
          <w:sz w:val="24"/>
          <w:szCs w:val="24"/>
          <w:lang w:eastAsia="en-IN"/>
          <w14:ligatures w14:val="none"/>
        </w:rPr>
        <w:tab/>
      </w:r>
      <w:r>
        <w:rPr>
          <w:rFonts w:ascii="system-ui" w:eastAsia="Times New Roman" w:hAnsi="system-ui" w:cs="Times New Roman"/>
          <w:color w:val="44475B"/>
          <w:kern w:val="0"/>
          <w:sz w:val="24"/>
          <w:szCs w:val="24"/>
          <w:lang w:eastAsia="en-IN"/>
          <w14:ligatures w14:val="none"/>
        </w:rPr>
        <w:tab/>
      </w:r>
      <w:r>
        <w:rPr>
          <w:rFonts w:ascii="system-ui" w:eastAsia="Times New Roman" w:hAnsi="system-ui" w:cs="Times New Roman"/>
          <w:color w:val="44475B"/>
          <w:kern w:val="0"/>
          <w:sz w:val="24"/>
          <w:szCs w:val="24"/>
          <w:lang w:eastAsia="en-IN"/>
          <w14:ligatures w14:val="none"/>
        </w:rPr>
        <w:tab/>
      </w:r>
      <w:r w:rsidRPr="001F249A">
        <w:rPr>
          <w:rFonts w:ascii="system-ui" w:eastAsia="Times New Roman" w:hAnsi="system-ui" w:cs="Times New Roman"/>
          <w:b/>
          <w:bCs/>
          <w:color w:val="44475B"/>
          <w:kern w:val="0"/>
          <w:sz w:val="28"/>
          <w:szCs w:val="28"/>
          <w:lang w:eastAsia="en-IN"/>
          <w14:ligatures w14:val="none"/>
        </w:rPr>
        <w:t>Hedging</w:t>
      </w:r>
    </w:p>
    <w:p w14:paraId="72E3CC30" w14:textId="67ED4CB8" w:rsidR="0037598C" w:rsidRPr="001F249A" w:rsidRDefault="00000000" w:rsidP="0037598C">
      <w:pPr>
        <w:rPr>
          <w:rFonts w:ascii="Arial" w:eastAsia="Times New Roman" w:hAnsi="Arial" w:cs="Arial"/>
          <w:kern w:val="0"/>
          <w:sz w:val="24"/>
          <w:szCs w:val="24"/>
          <w:lang w:eastAsia="en-IN"/>
          <w14:ligatures w14:val="none"/>
        </w:rPr>
      </w:pPr>
      <w:hyperlink r:id="rId28" w:history="1">
        <w:r w:rsidR="0037598C" w:rsidRPr="0037598C">
          <w:rPr>
            <w:rFonts w:ascii="system-ui" w:eastAsia="Times New Roman" w:hAnsi="system-ui" w:cs="Times New Roman"/>
            <w:color w:val="0000FF"/>
            <w:kern w:val="0"/>
            <w:sz w:val="27"/>
            <w:szCs w:val="27"/>
            <w:shd w:val="clear" w:color="auto" w:fill="FFFFFF"/>
            <w:lang w:eastAsia="en-IN"/>
            <w14:ligatures w14:val="none"/>
          </w:rPr>
          <w:br/>
        </w:r>
      </w:hyperlink>
      <w:r w:rsidR="001F249A">
        <w:rPr>
          <w:rFonts w:ascii="Times New Roman" w:eastAsia="Times New Roman" w:hAnsi="Times New Roman" w:cs="Times New Roman"/>
          <w:kern w:val="0"/>
          <w:sz w:val="24"/>
          <w:szCs w:val="24"/>
          <w:lang w:eastAsia="en-IN"/>
          <w14:ligatures w14:val="none"/>
        </w:rPr>
        <w:tab/>
        <w:t xml:space="preserve">         </w:t>
      </w:r>
      <w:r w:rsidR="001F249A" w:rsidRPr="001F249A">
        <w:rPr>
          <w:rFonts w:ascii="Arial" w:eastAsia="Times New Roman" w:hAnsi="Arial" w:cs="Arial"/>
          <w:kern w:val="0"/>
          <w:sz w:val="24"/>
          <w:szCs w:val="24"/>
          <w:lang w:eastAsia="en-IN"/>
          <w14:ligatures w14:val="none"/>
        </w:rPr>
        <w:t>Speculation &amp; Arbitrage using Futures</w:t>
      </w:r>
    </w:p>
    <w:p w14:paraId="5FEF1B30" w14:textId="77777777"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The goal of arbitrage trading is to profit from price differences without taking any risks. The strategy entails purchasing and selling assets simultaneously in other marketplaces. It is a low-risk, high-reward strategy. It seeks to take advantage of market inefficiencies by profiting from the price variations of the same or comparable assets in several marketplaces.</w:t>
      </w:r>
    </w:p>
    <w:p w14:paraId="72F2FD0A" w14:textId="77777777"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lastRenderedPageBreak/>
        <w:t>Individuals or businesses that participate in this practice are known as arbitrageurs. They frequently employ complex trading algorithms and computer programs to find and swiftly carry out profitable trades. There is a long-term expectation that the price differences between assets will converge. So, the objective of arbitrage is to generate a profit without taking any major risk.</w:t>
      </w:r>
    </w:p>
    <w:p w14:paraId="6EE26B75" w14:textId="77777777"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Arbitrage can be applied in various markets, including stocks, bonds, currencies, and commodities. There are several varieties of arbitrage, including statistical arbitrage, geographical arbitrage, and temporal arbitrage. While temporal arbitrage includes purchasing and selling assets at various periods, spatial arbitrage entails buying and selling assets in different places on the planet. Comparatively, statistical arbitrage entails locating and taking advantage of market inefficiencies using quantitative models.</w:t>
      </w:r>
    </w:p>
    <w:p w14:paraId="4735E4E7" w14:textId="77777777"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Speculation is a strategy where traders buy and sell assets with the intention of profiting from a successful prediction on price action. Contrary to arbitrage, speculating entails taking on market risk since the asset's future price is unpredictable and subject to a variety of influences. They include the prevailing economic conditions, current political events, and market sentiments.</w:t>
      </w:r>
    </w:p>
    <w:p w14:paraId="799B4C34" w14:textId="77777777"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Those who engage in speculation are known as speculators. They frequently employ fundamental and technical research and find prospective investment opportunities. Using their analysis, they decide when to trade. Speculators aim to make a profit by properly anticipating how an asset's price will change in the future. However, it also carries the risk of losing money if one’s predictions go wrong.</w:t>
      </w:r>
    </w:p>
    <w:p w14:paraId="55C7625F" w14:textId="63763EFF"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Speculation can be categorized into several types, such as directional speculation, volatility speculation, and event-driven speculation. One can carry out speculation trading in a variety of markets, including stocks, bonds, currencies, and commodities. While volatility speculation hinges on the future volatility of the assets, directional speculation depends on the future price direction of the assets. On the other hand, event-driven speculation involves taking chances on future price action based on certain events. These may include mergers and acquisitions, earnings reports, and regulatory changes.</w:t>
      </w:r>
    </w:p>
    <w:p w14:paraId="4246175E" w14:textId="7C795DAE" w:rsidR="001F249A" w:rsidRDefault="001F249A" w:rsidP="001F249A">
      <w:pPr>
        <w:pStyle w:val="mmarkdown-p-tag"/>
        <w:shd w:val="clear" w:color="auto" w:fill="FFFFFF"/>
        <w:spacing w:before="225" w:beforeAutospacing="0" w:after="225" w:afterAutospacing="0" w:line="336" w:lineRule="atLeast"/>
        <w:rPr>
          <w:rFonts w:ascii="Arial" w:hAnsi="Arial" w:cs="Arial"/>
          <w:spacing w:val="-3"/>
        </w:rPr>
      </w:pPr>
      <w:r>
        <w:rPr>
          <w:rFonts w:ascii="Arial" w:hAnsi="Arial" w:cs="Arial"/>
          <w:spacing w:val="-3"/>
        </w:rPr>
        <w:t xml:space="preserve">Difference between </w:t>
      </w:r>
      <w:r w:rsidR="007A1645">
        <w:rPr>
          <w:rFonts w:ascii="Arial" w:hAnsi="Arial" w:cs="Arial"/>
          <w:spacing w:val="-3"/>
        </w:rPr>
        <w:t>speculation and arbitrage</w:t>
      </w:r>
    </w:p>
    <w:tbl>
      <w:tblPr>
        <w:tblW w:w="8725" w:type="dxa"/>
        <w:shd w:val="clear" w:color="auto" w:fill="FFFFFF"/>
        <w:tblCellMar>
          <w:left w:w="0" w:type="dxa"/>
          <w:right w:w="0" w:type="dxa"/>
        </w:tblCellMar>
        <w:tblLook w:val="04A0" w:firstRow="1" w:lastRow="0" w:firstColumn="1" w:lastColumn="0" w:noHBand="0" w:noVBand="1"/>
      </w:tblPr>
      <w:tblGrid>
        <w:gridCol w:w="3914"/>
        <w:gridCol w:w="2737"/>
        <w:gridCol w:w="2074"/>
      </w:tblGrid>
      <w:tr w:rsidR="00A46C00" w:rsidRPr="001F249A" w14:paraId="5803CD8F" w14:textId="77777777" w:rsidTr="00466DD8">
        <w:trPr>
          <w:trHeight w:val="327"/>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63F0CCE4"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r>
              <w:rPr>
                <w:rFonts w:ascii="inherit" w:eastAsia="Times New Roman" w:hAnsi="inherit" w:cs="Arial"/>
                <w:color w:val="000000"/>
                <w:spacing w:val="-3"/>
                <w:kern w:val="0"/>
                <w:sz w:val="24"/>
                <w:szCs w:val="24"/>
                <w:bdr w:val="none" w:sz="0" w:space="0" w:color="auto" w:frame="1"/>
                <w:lang w:eastAsia="en-IN"/>
                <w14:ligatures w14:val="none"/>
              </w:rPr>
              <w:t>Parameters</w:t>
            </w:r>
          </w:p>
          <w:p w14:paraId="24C242FA"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p w14:paraId="3111E234" w14:textId="755F4BEE"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Risk</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5316F63F"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r>
              <w:rPr>
                <w:rFonts w:ascii="inherit" w:eastAsia="Times New Roman" w:hAnsi="inherit" w:cs="Arial"/>
                <w:color w:val="000000"/>
                <w:spacing w:val="-3"/>
                <w:kern w:val="0"/>
                <w:sz w:val="24"/>
                <w:szCs w:val="24"/>
                <w:bdr w:val="none" w:sz="0" w:space="0" w:color="auto" w:frame="1"/>
                <w:lang w:eastAsia="en-IN"/>
                <w14:ligatures w14:val="none"/>
              </w:rPr>
              <w:t>Arbitrage</w:t>
            </w:r>
          </w:p>
          <w:p w14:paraId="7BA65BF4"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p w14:paraId="161FC241" w14:textId="32F1A72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Low-risk</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1EB7B8CF"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r>
              <w:rPr>
                <w:rFonts w:ascii="inherit" w:eastAsia="Times New Roman" w:hAnsi="inherit" w:cs="Arial"/>
                <w:color w:val="000000"/>
                <w:spacing w:val="-3"/>
                <w:kern w:val="0"/>
                <w:sz w:val="24"/>
                <w:szCs w:val="24"/>
                <w:bdr w:val="none" w:sz="0" w:space="0" w:color="auto" w:frame="1"/>
                <w:lang w:eastAsia="en-IN"/>
                <w14:ligatures w14:val="none"/>
              </w:rPr>
              <w:t>Speculation</w:t>
            </w:r>
          </w:p>
          <w:p w14:paraId="022D9A7A" w14:textId="77777777" w:rsidR="007A1645"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p w14:paraId="5B6BF787" w14:textId="09399C4B"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High-risk</w:t>
            </w:r>
          </w:p>
        </w:tc>
      </w:tr>
      <w:tr w:rsidR="00A46C00" w:rsidRPr="001F249A" w14:paraId="53DADFC4" w14:textId="77777777" w:rsidTr="00466DD8">
        <w:trPr>
          <w:trHeight w:val="342"/>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24F1C6C9"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Expertise required</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6A63CCB5"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High</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11B124BB"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Low</w:t>
            </w:r>
          </w:p>
        </w:tc>
      </w:tr>
      <w:tr w:rsidR="00A46C00" w:rsidRPr="001F249A" w14:paraId="30295DD3" w14:textId="77777777" w:rsidTr="00466DD8">
        <w:trPr>
          <w:trHeight w:val="327"/>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0EC74723"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lastRenderedPageBreak/>
              <w:t>Investment required</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0E00B088"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High</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4B810854"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Low</w:t>
            </w:r>
          </w:p>
        </w:tc>
      </w:tr>
      <w:tr w:rsidR="00A46C00" w:rsidRPr="001F249A" w14:paraId="395F77EE" w14:textId="77777777" w:rsidTr="00466DD8">
        <w:trPr>
          <w:trHeight w:val="342"/>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3E01434A"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Time required</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517F4D57"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High</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1BC6EC2F"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Low</w:t>
            </w:r>
          </w:p>
        </w:tc>
      </w:tr>
      <w:tr w:rsidR="00A46C00" w:rsidRPr="001F249A" w14:paraId="49B8A4F9" w14:textId="77777777" w:rsidTr="00466DD8">
        <w:trPr>
          <w:trHeight w:val="327"/>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1E88A96C"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Based on</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7BD86468"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Assumptions</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3790D142"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Guesses</w:t>
            </w:r>
          </w:p>
        </w:tc>
      </w:tr>
      <w:tr w:rsidR="00A46C00" w:rsidRPr="001F249A" w14:paraId="3F97222C" w14:textId="77777777" w:rsidTr="00466DD8">
        <w:trPr>
          <w:trHeight w:val="327"/>
        </w:trPr>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49D8EBF6" w14:textId="77777777" w:rsidR="007A1645" w:rsidRPr="001F249A"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tc>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21E10D84" w14:textId="77777777" w:rsidR="007A1645" w:rsidRPr="001F249A"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tc>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51D04FED" w14:textId="77777777" w:rsidR="007A1645" w:rsidRPr="001F249A" w:rsidRDefault="007A1645" w:rsidP="001F249A">
            <w:pPr>
              <w:spacing w:after="0" w:line="240" w:lineRule="auto"/>
              <w:rPr>
                <w:rFonts w:ascii="inherit" w:eastAsia="Times New Roman" w:hAnsi="inherit" w:cs="Arial"/>
                <w:color w:val="000000"/>
                <w:spacing w:val="-3"/>
                <w:kern w:val="0"/>
                <w:sz w:val="24"/>
                <w:szCs w:val="24"/>
                <w:bdr w:val="none" w:sz="0" w:space="0" w:color="auto" w:frame="1"/>
                <w:lang w:eastAsia="en-IN"/>
                <w14:ligatures w14:val="none"/>
              </w:rPr>
            </w:pPr>
          </w:p>
        </w:tc>
      </w:tr>
      <w:tr w:rsidR="00A46C00" w:rsidRPr="001F249A" w14:paraId="72703BB1" w14:textId="77777777" w:rsidTr="00466DD8">
        <w:trPr>
          <w:trHeight w:val="342"/>
        </w:trPr>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4B9DAFAF"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Common Application Participants</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7B69B47F"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Institutional investors</w:t>
            </w:r>
          </w:p>
        </w:tc>
        <w:tc>
          <w:tcPr>
            <w:tcW w:w="0" w:type="auto"/>
            <w:tcBorders>
              <w:top w:val="nil"/>
              <w:left w:val="nil"/>
              <w:bottom w:val="nil"/>
              <w:right w:val="nil"/>
            </w:tcBorders>
            <w:shd w:val="clear" w:color="auto" w:fill="FFFFFF"/>
            <w:tcMar>
              <w:top w:w="240" w:type="dxa"/>
              <w:left w:w="240" w:type="dxa"/>
              <w:bottom w:w="240" w:type="dxa"/>
              <w:right w:w="240" w:type="dxa"/>
            </w:tcMar>
            <w:vAlign w:val="center"/>
            <w:hideMark/>
          </w:tcPr>
          <w:p w14:paraId="213E69DE" w14:textId="77777777" w:rsidR="001F249A" w:rsidRPr="001F249A" w:rsidRDefault="001F249A" w:rsidP="001F249A">
            <w:pPr>
              <w:spacing w:after="0" w:line="240" w:lineRule="auto"/>
              <w:rPr>
                <w:rFonts w:ascii="inherit" w:eastAsia="Times New Roman" w:hAnsi="inherit" w:cs="Arial"/>
                <w:color w:val="000000"/>
                <w:spacing w:val="-3"/>
                <w:kern w:val="0"/>
                <w:sz w:val="24"/>
                <w:szCs w:val="24"/>
                <w:lang w:eastAsia="en-IN"/>
                <w14:ligatures w14:val="none"/>
              </w:rPr>
            </w:pPr>
            <w:r w:rsidRPr="001F249A">
              <w:rPr>
                <w:rFonts w:ascii="inherit" w:eastAsia="Times New Roman" w:hAnsi="inherit" w:cs="Arial"/>
                <w:color w:val="000000"/>
                <w:spacing w:val="-3"/>
                <w:kern w:val="0"/>
                <w:sz w:val="24"/>
                <w:szCs w:val="24"/>
                <w:bdr w:val="none" w:sz="0" w:space="0" w:color="auto" w:frame="1"/>
                <w:lang w:eastAsia="en-IN"/>
                <w14:ligatures w14:val="none"/>
              </w:rPr>
              <w:t>Retail investors</w:t>
            </w:r>
          </w:p>
        </w:tc>
      </w:tr>
      <w:tr w:rsidR="00A46C00" w:rsidRPr="001F249A" w14:paraId="4B73A503" w14:textId="77777777" w:rsidTr="00466DD8">
        <w:trPr>
          <w:trHeight w:val="342"/>
        </w:trPr>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393D60DD" w14:textId="52594B47" w:rsidR="00A46C00" w:rsidRPr="001F249A" w:rsidRDefault="00A46C00" w:rsidP="00A46C00">
            <w:pPr>
              <w:spacing w:after="0" w:line="240" w:lineRule="auto"/>
              <w:jc w:val="both"/>
              <w:rPr>
                <w:rFonts w:ascii="inherit" w:eastAsia="Times New Roman" w:hAnsi="inherit" w:cs="Arial"/>
                <w:color w:val="000000"/>
                <w:spacing w:val="-3"/>
                <w:kern w:val="0"/>
                <w:sz w:val="24"/>
                <w:szCs w:val="24"/>
                <w:bdr w:val="none" w:sz="0" w:space="0" w:color="auto" w:frame="1"/>
                <w:lang w:eastAsia="en-IN"/>
                <w14:ligatures w14:val="none"/>
              </w:rPr>
            </w:pPr>
          </w:p>
        </w:tc>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02B9CF36" w14:textId="77777777" w:rsidR="007A1645" w:rsidRPr="001F249A" w:rsidRDefault="007A1645" w:rsidP="00A46C00">
            <w:pPr>
              <w:spacing w:after="0" w:line="240" w:lineRule="auto"/>
              <w:jc w:val="both"/>
              <w:rPr>
                <w:rFonts w:ascii="inherit" w:eastAsia="Times New Roman" w:hAnsi="inherit" w:cs="Arial"/>
                <w:color w:val="000000"/>
                <w:spacing w:val="-3"/>
                <w:kern w:val="0"/>
                <w:sz w:val="24"/>
                <w:szCs w:val="24"/>
                <w:bdr w:val="none" w:sz="0" w:space="0" w:color="auto" w:frame="1"/>
                <w:lang w:eastAsia="en-IN"/>
                <w14:ligatures w14:val="none"/>
              </w:rPr>
            </w:pPr>
          </w:p>
        </w:tc>
        <w:tc>
          <w:tcPr>
            <w:tcW w:w="0" w:type="auto"/>
            <w:tcBorders>
              <w:top w:val="nil"/>
              <w:left w:val="nil"/>
              <w:bottom w:val="nil"/>
              <w:right w:val="nil"/>
            </w:tcBorders>
            <w:shd w:val="clear" w:color="auto" w:fill="FFFFFF"/>
            <w:tcMar>
              <w:top w:w="240" w:type="dxa"/>
              <w:left w:w="240" w:type="dxa"/>
              <w:bottom w:w="240" w:type="dxa"/>
              <w:right w:w="240" w:type="dxa"/>
            </w:tcMar>
            <w:vAlign w:val="center"/>
          </w:tcPr>
          <w:p w14:paraId="2D4F04B0" w14:textId="77777777" w:rsidR="007A1645" w:rsidRPr="001F249A" w:rsidRDefault="007A1645" w:rsidP="00A46C00">
            <w:pPr>
              <w:spacing w:after="0" w:line="240" w:lineRule="auto"/>
              <w:jc w:val="both"/>
              <w:rPr>
                <w:rFonts w:ascii="inherit" w:eastAsia="Times New Roman" w:hAnsi="inherit" w:cs="Arial"/>
                <w:color w:val="000000"/>
                <w:spacing w:val="-3"/>
                <w:kern w:val="0"/>
                <w:sz w:val="24"/>
                <w:szCs w:val="24"/>
                <w:bdr w:val="none" w:sz="0" w:space="0" w:color="auto" w:frame="1"/>
                <w:lang w:eastAsia="en-IN"/>
                <w14:ligatures w14:val="none"/>
              </w:rPr>
            </w:pPr>
          </w:p>
        </w:tc>
      </w:tr>
    </w:tbl>
    <w:p w14:paraId="0B69BCC8" w14:textId="77777777" w:rsidR="00A46C00" w:rsidRDefault="00A46C00" w:rsidP="00A46C00">
      <w:pPr>
        <w:spacing w:after="0" w:line="240" w:lineRule="auto"/>
        <w:jc w:val="both"/>
        <w:rPr>
          <w:rFonts w:ascii="inherit" w:eastAsia="Times New Roman" w:hAnsi="inherit" w:cs="Arial"/>
          <w:color w:val="000000"/>
          <w:spacing w:val="-3"/>
          <w:kern w:val="0"/>
          <w:sz w:val="24"/>
          <w:szCs w:val="24"/>
          <w:bdr w:val="none" w:sz="0" w:space="0" w:color="auto" w:frame="1"/>
          <w:lang w:eastAsia="en-IN"/>
          <w14:ligatures w14:val="none"/>
        </w:rPr>
      </w:pPr>
    </w:p>
    <w:p w14:paraId="727BEA31" w14:textId="77777777" w:rsidR="00A46C00" w:rsidRDefault="00A46C00" w:rsidP="00A46C00">
      <w:pPr>
        <w:spacing w:after="0" w:line="240" w:lineRule="auto"/>
        <w:jc w:val="both"/>
        <w:rPr>
          <w:rFonts w:ascii="inherit" w:eastAsia="Times New Roman" w:hAnsi="inherit" w:cs="Arial"/>
          <w:color w:val="000000"/>
          <w:spacing w:val="-3"/>
          <w:kern w:val="0"/>
          <w:sz w:val="24"/>
          <w:szCs w:val="24"/>
          <w:bdr w:val="none" w:sz="0" w:space="0" w:color="auto" w:frame="1"/>
          <w:lang w:eastAsia="en-IN"/>
          <w14:ligatures w14:val="none"/>
        </w:rPr>
      </w:pPr>
    </w:p>
    <w:p w14:paraId="16D45A15" w14:textId="77777777" w:rsidR="00A46C00" w:rsidRPr="00C22DF5" w:rsidRDefault="00A46C00" w:rsidP="00C22DF5">
      <w:pPr>
        <w:spacing w:after="0" w:line="240" w:lineRule="auto"/>
        <w:jc w:val="both"/>
        <w:rPr>
          <w:rFonts w:ascii="Arial" w:eastAsia="Times New Roman" w:hAnsi="Arial" w:cs="Arial"/>
          <w:color w:val="000000"/>
          <w:spacing w:val="-3"/>
          <w:kern w:val="0"/>
          <w:sz w:val="24"/>
          <w:szCs w:val="24"/>
          <w:bdr w:val="none" w:sz="0" w:space="0" w:color="auto" w:frame="1"/>
          <w:lang w:eastAsia="en-IN"/>
          <w14:ligatures w14:val="none"/>
        </w:rPr>
      </w:pPr>
      <w:r w:rsidRPr="00C22DF5">
        <w:rPr>
          <w:rFonts w:ascii="Arial" w:eastAsia="Times New Roman" w:hAnsi="Arial" w:cs="Arial"/>
          <w:color w:val="000000"/>
          <w:spacing w:val="-3"/>
          <w:kern w:val="0"/>
          <w:sz w:val="24"/>
          <w:szCs w:val="24"/>
          <w:bdr w:val="none" w:sz="0" w:space="0" w:color="auto" w:frame="1"/>
          <w:lang w:eastAsia="en-IN"/>
          <w14:ligatures w14:val="none"/>
        </w:rPr>
        <w:t>Arbitrage in futures</w:t>
      </w:r>
    </w:p>
    <w:p w14:paraId="5FAA8215" w14:textId="23075E8D" w:rsidR="00A46C00" w:rsidRDefault="00A46C00" w:rsidP="00C22DF5">
      <w:pPr>
        <w:pStyle w:val="mmarkdown-p-tag"/>
        <w:shd w:val="clear" w:color="auto" w:fill="FFFFFF"/>
        <w:spacing w:before="225" w:beforeAutospacing="0" w:after="0" w:afterAutospacing="0" w:line="336" w:lineRule="atLeast"/>
        <w:jc w:val="both"/>
        <w:rPr>
          <w:rFonts w:ascii="Arial" w:hAnsi="Arial" w:cs="Arial"/>
          <w:color w:val="545454"/>
          <w:shd w:val="clear" w:color="auto" w:fill="FFFFFF"/>
        </w:rPr>
      </w:pPr>
      <w:r w:rsidRPr="00C22DF5">
        <w:rPr>
          <w:rFonts w:ascii="Arial" w:hAnsi="Arial" w:cs="Arial"/>
          <w:color w:val="545454"/>
          <w:shd w:val="clear" w:color="auto" w:fill="FFFFFF"/>
        </w:rPr>
        <w:t xml:space="preserve">This difference between cash and future price is known as basis. As the expiration date approaches, both the future and spot prices are similar. But the time leading up to the expiration date, </w:t>
      </w:r>
      <w:proofErr w:type="spellStart"/>
      <w:r w:rsidRPr="00C22DF5">
        <w:rPr>
          <w:rFonts w:ascii="Arial" w:hAnsi="Arial" w:cs="Arial"/>
          <w:color w:val="545454"/>
          <w:shd w:val="clear" w:color="auto" w:fill="FFFFFF"/>
        </w:rPr>
        <w:t>ie</w:t>
      </w:r>
      <w:proofErr w:type="spellEnd"/>
      <w:r w:rsidRPr="00C22DF5">
        <w:rPr>
          <w:rFonts w:ascii="Arial" w:hAnsi="Arial" w:cs="Arial"/>
          <w:color w:val="545454"/>
          <w:shd w:val="clear" w:color="auto" w:fill="FFFFFF"/>
        </w:rPr>
        <w:t>, during the period of the arbitrage, there is a difference in pricing. When the basis for an asset is negative, it signifies that the asset price is expected to go up in the future. If the basis is positive, it means the spot or cash price is higher than the future price, and indicates a bear run in the future.</w:t>
      </w:r>
    </w:p>
    <w:p w14:paraId="47CBCB94" w14:textId="77777777" w:rsidR="00C22DF5" w:rsidRPr="00C22DF5" w:rsidRDefault="00C22DF5" w:rsidP="00C22DF5">
      <w:pPr>
        <w:pStyle w:val="mmarkdown-p-tag"/>
        <w:shd w:val="clear" w:color="auto" w:fill="FFFFFF"/>
        <w:spacing w:before="225" w:beforeAutospacing="0" w:after="0" w:afterAutospacing="0" w:line="336" w:lineRule="atLeast"/>
        <w:jc w:val="both"/>
        <w:rPr>
          <w:rFonts w:ascii="Arial" w:hAnsi="Arial" w:cs="Arial"/>
          <w:spacing w:val="-3"/>
        </w:rPr>
      </w:pPr>
    </w:p>
    <w:p w14:paraId="11EAEAD0" w14:textId="39279692" w:rsidR="001F249A" w:rsidRPr="00C22DF5" w:rsidRDefault="00C22DF5" w:rsidP="00C22DF5">
      <w:pPr>
        <w:spacing w:after="0"/>
        <w:jc w:val="both"/>
        <w:rPr>
          <w:rFonts w:ascii="Arial" w:eastAsia="Times New Roman" w:hAnsi="Arial" w:cs="Arial"/>
          <w:kern w:val="0"/>
          <w:sz w:val="24"/>
          <w:szCs w:val="24"/>
          <w:lang w:eastAsia="en-IN"/>
          <w14:ligatures w14:val="none"/>
        </w:rPr>
      </w:pPr>
      <w:proofErr w:type="gramStart"/>
      <w:r w:rsidRPr="00C22DF5">
        <w:rPr>
          <w:rFonts w:ascii="Arial" w:eastAsia="Times New Roman" w:hAnsi="Arial" w:cs="Arial"/>
          <w:kern w:val="0"/>
          <w:sz w:val="24"/>
          <w:szCs w:val="24"/>
          <w:lang w:eastAsia="en-IN"/>
          <w14:ligatures w14:val="none"/>
        </w:rPr>
        <w:t>Example :</w:t>
      </w:r>
      <w:proofErr w:type="gramEnd"/>
    </w:p>
    <w:p w14:paraId="1A7038FF" w14:textId="77777777" w:rsidR="00C22DF5" w:rsidRPr="00466DD8" w:rsidRDefault="00C22DF5" w:rsidP="00C22DF5">
      <w:pPr>
        <w:pStyle w:val="NormalWeb"/>
        <w:shd w:val="clear" w:color="auto" w:fill="FFFFFF"/>
        <w:spacing w:before="0" w:beforeAutospacing="0" w:after="0" w:afterAutospacing="0" w:line="480" w:lineRule="atLeast"/>
        <w:jc w:val="both"/>
        <w:rPr>
          <w:rFonts w:ascii="Arial" w:hAnsi="Arial" w:cs="Arial"/>
          <w:color w:val="545454"/>
        </w:rPr>
      </w:pPr>
      <w:r w:rsidRPr="00466DD8">
        <w:rPr>
          <w:rFonts w:ascii="Arial" w:hAnsi="Arial" w:cs="Arial"/>
          <w:color w:val="545454"/>
        </w:rPr>
        <w:t>Consider a stock X as of January 1, 2020. Its cash market price is Rs 150 and its May futures is Rs 152. Say the multiplier of the contract is 100 </w:t>
      </w:r>
      <w:hyperlink r:id="rId29" w:history="1">
        <w:r w:rsidRPr="00466DD8">
          <w:rPr>
            <w:rStyle w:val="Hyperlink"/>
            <w:rFonts w:ascii="Arial" w:hAnsi="Arial" w:cs="Arial"/>
            <w:color w:val="auto"/>
            <w:u w:val="none"/>
          </w:rPr>
          <w:t>shares</w:t>
        </w:r>
      </w:hyperlink>
      <w:r w:rsidRPr="00466DD8">
        <w:rPr>
          <w:rFonts w:ascii="Arial" w:hAnsi="Arial" w:cs="Arial"/>
          <w:color w:val="545454"/>
        </w:rPr>
        <w:t xml:space="preserve">. Imagine that </w:t>
      </w:r>
      <w:proofErr w:type="gramStart"/>
      <w:r w:rsidRPr="00466DD8">
        <w:rPr>
          <w:rFonts w:ascii="Arial" w:hAnsi="Arial" w:cs="Arial"/>
          <w:color w:val="545454"/>
        </w:rPr>
        <w:t>there’s</w:t>
      </w:r>
      <w:proofErr w:type="gramEnd"/>
      <w:r w:rsidRPr="00466DD8">
        <w:rPr>
          <w:rFonts w:ascii="Arial" w:hAnsi="Arial" w:cs="Arial"/>
          <w:color w:val="545454"/>
        </w:rPr>
        <w:t xml:space="preserve"> a cost of carry, which is an interest of 8 per cent per annum or 0.75 per cent per month. In such a scenario, the fair price is computed by making use of the formula where F = S*exp(</w:t>
      </w:r>
      <w:proofErr w:type="spellStart"/>
      <w:r w:rsidRPr="00466DD8">
        <w:rPr>
          <w:rFonts w:ascii="Arial" w:hAnsi="Arial" w:cs="Arial"/>
          <w:color w:val="545454"/>
        </w:rPr>
        <w:t>rT</w:t>
      </w:r>
      <w:proofErr w:type="spellEnd"/>
      <w:r w:rsidRPr="00466DD8">
        <w:rPr>
          <w:rFonts w:ascii="Arial" w:hAnsi="Arial" w:cs="Arial"/>
          <w:color w:val="545454"/>
        </w:rPr>
        <w:t xml:space="preserve">) where S stands for the spot price, r is the cost of carry in percentage and T is the time left for expiration in years. </w:t>
      </w:r>
      <w:proofErr w:type="gramStart"/>
      <w:r w:rsidRPr="00466DD8">
        <w:rPr>
          <w:rFonts w:ascii="Arial" w:hAnsi="Arial" w:cs="Arial"/>
          <w:color w:val="545454"/>
        </w:rPr>
        <w:t>So</w:t>
      </w:r>
      <w:proofErr w:type="gramEnd"/>
      <w:r w:rsidRPr="00466DD8">
        <w:rPr>
          <w:rFonts w:ascii="Arial" w:hAnsi="Arial" w:cs="Arial"/>
          <w:color w:val="545454"/>
        </w:rPr>
        <w:t xml:space="preserve"> in this example, the fair price is equal to 150*exp (0.0075*5/12), which gives us a number of 150.469. So, this means that it is an overvalued futures contract (market price is at Rs 152). So, you go long in the cash market and short in the futures.</w:t>
      </w:r>
    </w:p>
    <w:p w14:paraId="5E473C7E" w14:textId="77777777" w:rsidR="00C22DF5" w:rsidRPr="00466DD8" w:rsidRDefault="00C22DF5" w:rsidP="00C22DF5">
      <w:pPr>
        <w:pStyle w:val="NormalWeb"/>
        <w:shd w:val="clear" w:color="auto" w:fill="FFFFFF"/>
        <w:spacing w:before="0" w:beforeAutospacing="0" w:after="0" w:afterAutospacing="0" w:line="480" w:lineRule="atLeast"/>
        <w:jc w:val="both"/>
        <w:rPr>
          <w:rFonts w:ascii="Arial" w:hAnsi="Arial" w:cs="Arial"/>
          <w:color w:val="545454"/>
        </w:rPr>
      </w:pPr>
      <w:r w:rsidRPr="00466DD8">
        <w:rPr>
          <w:rFonts w:ascii="Arial" w:hAnsi="Arial" w:cs="Arial"/>
          <w:color w:val="545454"/>
        </w:rPr>
        <w:lastRenderedPageBreak/>
        <w:t>If a trader has 100 shares of this stock and the stock price goes up to Rs 155, the profit would be 155-150×100, which is Rs 500. The futures would set you back by 155-152×100, which would result in Rs 300. So, the arbitrage fetches the trader Rs 200. The cost of this arbitrage is Rs 0.469, which for 100 shares would be Rs 46.9. Your overall gain would be Rs 200-Rs 46.9. This would be Rs 153.1.</w:t>
      </w:r>
    </w:p>
    <w:p w14:paraId="7078D49E" w14:textId="77777777" w:rsidR="00C22DF5" w:rsidRPr="00466DD8" w:rsidRDefault="00C22DF5" w:rsidP="00C22DF5">
      <w:pPr>
        <w:pStyle w:val="NormalWeb"/>
        <w:shd w:val="clear" w:color="auto" w:fill="FFFFFF"/>
        <w:spacing w:before="0" w:beforeAutospacing="0" w:after="0" w:afterAutospacing="0" w:line="480" w:lineRule="atLeast"/>
        <w:jc w:val="both"/>
        <w:rPr>
          <w:rFonts w:ascii="Arial" w:hAnsi="Arial" w:cs="Arial"/>
          <w:color w:val="545454"/>
        </w:rPr>
      </w:pPr>
    </w:p>
    <w:p w14:paraId="6DE88DE7" w14:textId="77777777" w:rsidR="00C22DF5" w:rsidRDefault="00C22DF5" w:rsidP="00C22DF5">
      <w:pPr>
        <w:pStyle w:val="NormalWeb"/>
        <w:shd w:val="clear" w:color="auto" w:fill="FFFFFF"/>
        <w:spacing w:before="0" w:beforeAutospacing="0" w:after="0" w:afterAutospacing="0" w:line="480" w:lineRule="atLeast"/>
        <w:jc w:val="both"/>
        <w:rPr>
          <w:rFonts w:ascii="Arial" w:hAnsi="Arial" w:cs="Arial"/>
        </w:rPr>
      </w:pPr>
      <w:r w:rsidRPr="00466DD8">
        <w:rPr>
          <w:rFonts w:ascii="Arial" w:hAnsi="Arial" w:cs="Arial"/>
          <w:color w:val="545454"/>
        </w:rPr>
        <w:t>On the other hand, if you assume that the Rs 150 stock X drops to Rs 148. In such a scenario, the loss on the underlying asset would be Rs 200 (for 100 shares). The futures profit would fetch Rs 400 (152-148) for 100 shares. The arbitrage would bring you Rs 200. If you were to cut out the cost of carry, then you would have to deduct Rs 46.9 from the Rs 200, which would bring you Rs 153.1. This cash futures arbitrage example shows the inherent simplicity of the </w:t>
      </w:r>
      <w:hyperlink r:id="rId30" w:history="1">
        <w:r w:rsidRPr="00466DD8">
          <w:rPr>
            <w:rStyle w:val="Hyperlink"/>
            <w:rFonts w:ascii="Arial" w:hAnsi="Arial" w:cs="Arial"/>
            <w:color w:val="auto"/>
            <w:u w:val="none"/>
          </w:rPr>
          <w:t>trading strategy</w:t>
        </w:r>
      </w:hyperlink>
      <w:r w:rsidRPr="00466DD8">
        <w:rPr>
          <w:rFonts w:ascii="Arial" w:hAnsi="Arial" w:cs="Arial"/>
        </w:rPr>
        <w:t>.</w:t>
      </w:r>
    </w:p>
    <w:p w14:paraId="66543C5C" w14:textId="77777777" w:rsidR="00D0178C" w:rsidRPr="00466DD8" w:rsidRDefault="00D0178C" w:rsidP="00C22DF5">
      <w:pPr>
        <w:pStyle w:val="NormalWeb"/>
        <w:shd w:val="clear" w:color="auto" w:fill="FFFFFF"/>
        <w:spacing w:before="0" w:beforeAutospacing="0" w:after="0" w:afterAutospacing="0" w:line="480" w:lineRule="atLeast"/>
        <w:jc w:val="both"/>
        <w:rPr>
          <w:rFonts w:ascii="Arial" w:hAnsi="Arial" w:cs="Arial"/>
        </w:rPr>
      </w:pPr>
    </w:p>
    <w:p w14:paraId="2B9144BE" w14:textId="61DEA391" w:rsidR="00C22DF5" w:rsidRDefault="00C22DF5" w:rsidP="00AD349A">
      <w:pPr>
        <w:pStyle w:val="NormalWeb"/>
        <w:shd w:val="clear" w:color="auto" w:fill="FFFFFF"/>
        <w:spacing w:before="0" w:beforeAutospacing="0" w:after="0" w:afterAutospacing="0" w:line="480" w:lineRule="atLeast"/>
        <w:jc w:val="both"/>
        <w:rPr>
          <w:rFonts w:ascii="Arial" w:hAnsi="Arial" w:cs="Arial"/>
        </w:rPr>
      </w:pPr>
      <w:r>
        <w:rPr>
          <w:rFonts w:ascii="Arial" w:hAnsi="Arial" w:cs="Arial"/>
        </w:rPr>
        <w:t>Speculation in future markets</w:t>
      </w:r>
    </w:p>
    <w:p w14:paraId="5BDE6599" w14:textId="77777777" w:rsidR="00AD349A" w:rsidRDefault="00AD349A" w:rsidP="00AD349A">
      <w:pPr>
        <w:pStyle w:val="NormalWeb"/>
        <w:shd w:val="clear" w:color="auto" w:fill="FFFFFF"/>
        <w:spacing w:before="0" w:beforeAutospacing="0" w:after="0" w:afterAutospacing="0" w:line="480" w:lineRule="atLeast"/>
        <w:jc w:val="both"/>
        <w:rPr>
          <w:rFonts w:ascii="Arial" w:hAnsi="Arial" w:cs="Arial"/>
        </w:rPr>
      </w:pPr>
    </w:p>
    <w:p w14:paraId="293BF9DA" w14:textId="77777777" w:rsidR="00AD349A" w:rsidRPr="00AD349A" w:rsidRDefault="00AD349A" w:rsidP="00AD349A">
      <w:pPr>
        <w:pStyle w:val="comp"/>
        <w:shd w:val="clear" w:color="auto" w:fill="FFFFFF"/>
        <w:spacing w:before="0" w:beforeAutospacing="0" w:after="0" w:afterAutospacing="0"/>
        <w:rPr>
          <w:rFonts w:ascii="Arial" w:hAnsi="Arial" w:cs="Arial"/>
          <w:spacing w:val="1"/>
        </w:rPr>
      </w:pPr>
      <w:r w:rsidRPr="00AD349A">
        <w:rPr>
          <w:rFonts w:ascii="Arial" w:hAnsi="Arial" w:cs="Arial"/>
          <w:spacing w:val="1"/>
        </w:rPr>
        <w:t>A futures contract allows a trader to </w:t>
      </w:r>
      <w:hyperlink r:id="rId31" w:history="1">
        <w:r w:rsidRPr="00AD349A">
          <w:rPr>
            <w:rStyle w:val="Hyperlink"/>
            <w:rFonts w:ascii="Arial" w:hAnsi="Arial" w:cs="Arial"/>
            <w:color w:val="auto"/>
            <w:spacing w:val="1"/>
            <w:u w:val="none"/>
          </w:rPr>
          <w:t>speculate</w:t>
        </w:r>
      </w:hyperlink>
      <w:r w:rsidRPr="00AD349A">
        <w:rPr>
          <w:rFonts w:ascii="Arial" w:hAnsi="Arial" w:cs="Arial"/>
          <w:spacing w:val="1"/>
        </w:rPr>
        <w:t> on a commodity's price. If a trader buys a futures contract and the price rises above the original contract price at expiration, there is a profit. However, the trader could also lose if the commodity's price was lower than the purchase price specified in the futures contract. Before expiration, the futures contract—the </w:t>
      </w:r>
      <w:hyperlink r:id="rId32" w:history="1">
        <w:r w:rsidRPr="00AD349A">
          <w:rPr>
            <w:rStyle w:val="Hyperlink"/>
            <w:rFonts w:ascii="Arial" w:hAnsi="Arial" w:cs="Arial"/>
            <w:color w:val="auto"/>
            <w:spacing w:val="1"/>
            <w:u w:val="none"/>
          </w:rPr>
          <w:t>long position</w:t>
        </w:r>
      </w:hyperlink>
      <w:r w:rsidRPr="00AD349A">
        <w:rPr>
          <w:rFonts w:ascii="Arial" w:hAnsi="Arial" w:cs="Arial"/>
          <w:spacing w:val="1"/>
        </w:rPr>
        <w:t>—can be sold at the current price, closing the long position.</w:t>
      </w:r>
    </w:p>
    <w:p w14:paraId="7CECF024" w14:textId="77777777" w:rsidR="00AD349A" w:rsidRDefault="00AD349A" w:rsidP="00AD349A">
      <w:pPr>
        <w:pStyle w:val="comp"/>
        <w:shd w:val="clear" w:color="auto" w:fill="FFFFFF"/>
        <w:spacing w:before="0" w:beforeAutospacing="0"/>
        <w:rPr>
          <w:rFonts w:ascii="Arial" w:hAnsi="Arial" w:cs="Arial"/>
          <w:spacing w:val="1"/>
        </w:rPr>
      </w:pPr>
      <w:r w:rsidRPr="00AD349A">
        <w:rPr>
          <w:rFonts w:ascii="Arial" w:hAnsi="Arial" w:cs="Arial"/>
          <w:spacing w:val="1"/>
        </w:rPr>
        <w:t>Investors can also take a short speculative position if they predict the price will fall. If the price declines, the trader will take an offsetting position to close the contract. The net difference would be settled at the expiration of the contract. An investor gains if the underlying asset's price is below the contract price and loses if the current price is above the contract price.</w:t>
      </w:r>
    </w:p>
    <w:p w14:paraId="759AC478" w14:textId="4F5DCCCB" w:rsidR="00AD349A" w:rsidRDefault="00741A53" w:rsidP="00A533EA">
      <w:pPr>
        <w:pStyle w:val="comp"/>
        <w:shd w:val="clear" w:color="auto" w:fill="FFFFFF"/>
        <w:spacing w:before="0" w:beforeAutospacing="0"/>
        <w:ind w:left="1440" w:firstLine="720"/>
        <w:rPr>
          <w:rFonts w:ascii="Arial" w:hAnsi="Arial" w:cs="Arial"/>
          <w:spacing w:val="1"/>
        </w:rPr>
      </w:pPr>
      <w:r>
        <w:rPr>
          <w:rFonts w:ascii="Arial" w:hAnsi="Arial" w:cs="Arial"/>
          <w:spacing w:val="1"/>
        </w:rPr>
        <w:t>Long Hedge vs Short Hedge</w:t>
      </w:r>
    </w:p>
    <w:p w14:paraId="6DEEC0FD" w14:textId="6A5BBC9D" w:rsidR="00A533EA" w:rsidRPr="00A533EA" w:rsidRDefault="00A533EA" w:rsidP="00A533EA">
      <w:pPr>
        <w:pStyle w:val="comp"/>
        <w:shd w:val="clear" w:color="auto" w:fill="FFFFFF"/>
        <w:spacing w:before="0" w:beforeAutospacing="0"/>
        <w:rPr>
          <w:rFonts w:ascii="Arial" w:hAnsi="Arial" w:cs="Arial"/>
          <w:spacing w:val="1"/>
        </w:rPr>
      </w:pPr>
      <w:r w:rsidRPr="00A533EA">
        <w:rPr>
          <w:rFonts w:ascii="Arial" w:hAnsi="Arial" w:cs="Arial"/>
          <w:spacing w:val="1"/>
          <w:shd w:val="clear" w:color="auto" w:fill="FFFFFF"/>
        </w:rPr>
        <w:t>Companies use anticipatory hedging strategies to manage their </w:t>
      </w:r>
      <w:hyperlink r:id="rId33" w:history="1">
        <w:r w:rsidRPr="00A533EA">
          <w:rPr>
            <w:rStyle w:val="Hyperlink"/>
            <w:rFonts w:ascii="Arial" w:hAnsi="Arial" w:cs="Arial"/>
            <w:color w:val="auto"/>
            <w:spacing w:val="1"/>
            <w:u w:val="none"/>
            <w:shd w:val="clear" w:color="auto" w:fill="FFFFFF"/>
          </w:rPr>
          <w:t>inventory</w:t>
        </w:r>
      </w:hyperlink>
      <w:r w:rsidRPr="00A533EA">
        <w:rPr>
          <w:rFonts w:ascii="Arial" w:hAnsi="Arial" w:cs="Arial"/>
          <w:spacing w:val="1"/>
          <w:shd w:val="clear" w:color="auto" w:fill="FFFFFF"/>
        </w:rPr>
        <w:t> prudently. Entities may also seek to add additional profit through anticipatory hedging. In a </w:t>
      </w:r>
      <w:hyperlink r:id="rId34" w:history="1">
        <w:r w:rsidRPr="00A533EA">
          <w:rPr>
            <w:rStyle w:val="Hyperlink"/>
            <w:rFonts w:ascii="Arial" w:hAnsi="Arial" w:cs="Arial"/>
            <w:color w:val="auto"/>
            <w:spacing w:val="1"/>
            <w:u w:val="none"/>
            <w:shd w:val="clear" w:color="auto" w:fill="FFFFFF"/>
          </w:rPr>
          <w:t>short-hedged position</w:t>
        </w:r>
      </w:hyperlink>
      <w:r w:rsidRPr="00A533EA">
        <w:rPr>
          <w:rFonts w:ascii="Arial" w:hAnsi="Arial" w:cs="Arial"/>
          <w:spacing w:val="1"/>
          <w:shd w:val="clear" w:color="auto" w:fill="FFFFFF"/>
        </w:rPr>
        <w:t>, the entity is seeking to sell a commodity in the future at a specified price. The company seeking to buy the commodity takes the opposite position on the contract known as the </w:t>
      </w:r>
      <w:hyperlink r:id="rId35" w:history="1">
        <w:r w:rsidRPr="00A533EA">
          <w:rPr>
            <w:rStyle w:val="Hyperlink"/>
            <w:rFonts w:ascii="Arial" w:hAnsi="Arial" w:cs="Arial"/>
            <w:color w:val="auto"/>
            <w:spacing w:val="1"/>
            <w:u w:val="none"/>
            <w:shd w:val="clear" w:color="auto" w:fill="FFFFFF"/>
          </w:rPr>
          <w:t>long-hedged</w:t>
        </w:r>
      </w:hyperlink>
      <w:r w:rsidRPr="00A533EA">
        <w:rPr>
          <w:rFonts w:ascii="Arial" w:hAnsi="Arial" w:cs="Arial"/>
          <w:spacing w:val="1"/>
          <w:shd w:val="clear" w:color="auto" w:fill="FFFFFF"/>
        </w:rPr>
        <w:t> position. Companies use a short hedge in many commodity markets, including copper, silver, gold, oil, natural gas, corn, and wheat.</w:t>
      </w:r>
    </w:p>
    <w:p w14:paraId="6F203258" w14:textId="5204526E" w:rsidR="00C22DF5" w:rsidRPr="008B4CC2" w:rsidRDefault="00A533EA" w:rsidP="008B4CC2">
      <w:pPr>
        <w:pStyle w:val="NormalWeb"/>
        <w:shd w:val="clear" w:color="auto" w:fill="FFFFFF"/>
        <w:spacing w:before="0" w:beforeAutospacing="0" w:after="0" w:afterAutospacing="0" w:line="480" w:lineRule="atLeast"/>
        <w:jc w:val="both"/>
        <w:rPr>
          <w:rFonts w:ascii="Arial" w:hAnsi="Arial" w:cs="Arial"/>
          <w:spacing w:val="1"/>
          <w:shd w:val="clear" w:color="auto" w:fill="FFFFFF"/>
        </w:rPr>
      </w:pPr>
      <w:r w:rsidRPr="008B4CC2">
        <w:rPr>
          <w:rFonts w:ascii="Arial" w:hAnsi="Arial" w:cs="Arial"/>
          <w:spacing w:val="1"/>
          <w:shd w:val="clear" w:color="auto" w:fill="FFFFFF"/>
        </w:rPr>
        <w:lastRenderedPageBreak/>
        <w:t>A producer can use a forward hedge to lock in the current </w:t>
      </w:r>
      <w:hyperlink r:id="rId36" w:history="1">
        <w:r w:rsidRPr="008B4CC2">
          <w:rPr>
            <w:rStyle w:val="Hyperlink"/>
            <w:rFonts w:ascii="Arial" w:hAnsi="Arial" w:cs="Arial"/>
            <w:color w:val="auto"/>
            <w:spacing w:val="1"/>
            <w:shd w:val="clear" w:color="auto" w:fill="FFFFFF"/>
          </w:rPr>
          <w:t>market price</w:t>
        </w:r>
      </w:hyperlink>
      <w:r w:rsidRPr="008B4CC2">
        <w:rPr>
          <w:rFonts w:ascii="Arial" w:hAnsi="Arial" w:cs="Arial"/>
          <w:spacing w:val="1"/>
          <w:shd w:val="clear" w:color="auto" w:fill="FFFFFF"/>
        </w:rPr>
        <w:t> of the commodity that they are producing, by selling a forward or futures contract today, in order to negate price fluctuations that may occur between today and when the product is harvested or sold. At the time of sale, the hedger would close out their short position by buying back the forward or futures contract while selling their physical good.</w:t>
      </w:r>
    </w:p>
    <w:p w14:paraId="62BEF2F5" w14:textId="0B154DB8" w:rsidR="008B4CC2" w:rsidRDefault="008B4CC2" w:rsidP="00A533EA">
      <w:pPr>
        <w:pStyle w:val="NormalWeb"/>
        <w:shd w:val="clear" w:color="auto" w:fill="FFFFFF"/>
        <w:spacing w:before="0" w:beforeAutospacing="0" w:after="0" w:afterAutospacing="0" w:line="480" w:lineRule="atLeast"/>
        <w:jc w:val="both"/>
        <w:rPr>
          <w:rFonts w:ascii="Arial" w:hAnsi="Arial" w:cs="Arial"/>
          <w:spacing w:val="1"/>
          <w:shd w:val="clear" w:color="auto" w:fill="FFFFFF"/>
        </w:rPr>
      </w:pPr>
      <w:r w:rsidRPr="008B4CC2">
        <w:rPr>
          <w:rFonts w:ascii="Arial" w:hAnsi="Arial" w:cs="Arial"/>
          <w:color w:val="111111"/>
          <w:spacing w:val="1"/>
          <w:shd w:val="clear" w:color="auto" w:fill="FFFFFF"/>
        </w:rPr>
        <w:t>Short hedges are used by many types of producers from oil and minerals companies to agriculture and farming. In fact, more than 47,000 American farms use futures or options contracts to hedge against falling prices, according to the U.S. Department of Agriculture.</w:t>
      </w:r>
    </w:p>
    <w:p w14:paraId="46FEE568" w14:textId="7E8C7A97" w:rsidR="00A533EA" w:rsidRDefault="008B4CC2" w:rsidP="00A533EA">
      <w:pPr>
        <w:pStyle w:val="NormalWeb"/>
        <w:shd w:val="clear" w:color="auto" w:fill="FFFFFF"/>
        <w:spacing w:before="0" w:beforeAutospacing="0" w:after="0" w:afterAutospacing="0" w:line="480" w:lineRule="atLeast"/>
        <w:jc w:val="both"/>
        <w:rPr>
          <w:rFonts w:ascii="Arial" w:hAnsi="Arial" w:cs="Arial"/>
          <w:spacing w:val="1"/>
          <w:shd w:val="clear" w:color="auto" w:fill="FFFFFF"/>
        </w:rPr>
      </w:pPr>
      <w:r w:rsidRPr="008B4CC2">
        <w:rPr>
          <w:rFonts w:ascii="Arial" w:hAnsi="Arial" w:cs="Arial"/>
          <w:spacing w:val="1"/>
          <w:shd w:val="clear" w:color="auto" w:fill="FFFFFF"/>
        </w:rPr>
        <w:t>A </w:t>
      </w:r>
      <w:hyperlink r:id="rId37" w:history="1">
        <w:r w:rsidRPr="008B4CC2">
          <w:rPr>
            <w:rStyle w:val="Hyperlink"/>
            <w:rFonts w:ascii="Arial" w:hAnsi="Arial" w:cs="Arial"/>
            <w:color w:val="auto"/>
            <w:spacing w:val="1"/>
            <w:shd w:val="clear" w:color="auto" w:fill="FFFFFF"/>
          </w:rPr>
          <w:t>long hedge</w:t>
        </w:r>
      </w:hyperlink>
      <w:r w:rsidRPr="008B4CC2">
        <w:rPr>
          <w:rFonts w:ascii="Arial" w:hAnsi="Arial" w:cs="Arial"/>
          <w:spacing w:val="1"/>
          <w:shd w:val="clear" w:color="auto" w:fill="FFFFFF"/>
        </w:rPr>
        <w:t> involves purchasing a futures contract (or other long position) to protect against rising prices It is often used by manufacturers who require certain inputs and do not want to risk prices rising on those commodities.</w:t>
      </w:r>
    </w:p>
    <w:p w14:paraId="5215F0F4" w14:textId="4B6DC485" w:rsidR="008B4CC2" w:rsidRPr="009B17E4" w:rsidRDefault="009B17E4" w:rsidP="00A533EA">
      <w:pPr>
        <w:pStyle w:val="NormalWeb"/>
        <w:shd w:val="clear" w:color="auto" w:fill="FFFFFF"/>
        <w:spacing w:before="0" w:beforeAutospacing="0" w:after="0" w:afterAutospacing="0" w:line="480" w:lineRule="atLeast"/>
        <w:jc w:val="both"/>
        <w:rPr>
          <w:rFonts w:ascii="Arial" w:hAnsi="Arial" w:cs="Arial"/>
          <w:spacing w:val="1"/>
          <w:sz w:val="28"/>
          <w:szCs w:val="28"/>
          <w:shd w:val="clear" w:color="auto" w:fill="FFFFFF"/>
        </w:rPr>
      </w:pPr>
      <w:r>
        <w:rPr>
          <w:rFonts w:ascii="Arial" w:hAnsi="Arial" w:cs="Arial"/>
          <w:spacing w:val="1"/>
          <w:shd w:val="clear" w:color="auto" w:fill="FFFFFF"/>
        </w:rPr>
        <w:tab/>
      </w:r>
      <w:r>
        <w:rPr>
          <w:rFonts w:ascii="Arial" w:hAnsi="Arial" w:cs="Arial"/>
          <w:spacing w:val="1"/>
          <w:shd w:val="clear" w:color="auto" w:fill="FFFFFF"/>
        </w:rPr>
        <w:tab/>
      </w:r>
      <w:r>
        <w:rPr>
          <w:rFonts w:ascii="Arial" w:hAnsi="Arial" w:cs="Arial"/>
          <w:spacing w:val="1"/>
          <w:shd w:val="clear" w:color="auto" w:fill="FFFFFF"/>
        </w:rPr>
        <w:tab/>
      </w:r>
      <w:r>
        <w:rPr>
          <w:rFonts w:ascii="Arial" w:hAnsi="Arial" w:cs="Arial"/>
          <w:spacing w:val="1"/>
          <w:shd w:val="clear" w:color="auto" w:fill="FFFFFF"/>
        </w:rPr>
        <w:tab/>
      </w:r>
      <w:r w:rsidRPr="009B17E4">
        <w:rPr>
          <w:rFonts w:ascii="Arial" w:hAnsi="Arial" w:cs="Arial"/>
          <w:spacing w:val="1"/>
          <w:sz w:val="28"/>
          <w:szCs w:val="28"/>
          <w:shd w:val="clear" w:color="auto" w:fill="FFFFFF"/>
        </w:rPr>
        <w:t>Cash and Carry arbitrages</w:t>
      </w:r>
    </w:p>
    <w:p w14:paraId="0DAF00E6" w14:textId="6A1F21B7" w:rsidR="009B17E4" w:rsidRPr="009B17E4" w:rsidRDefault="009B17E4" w:rsidP="009B17E4">
      <w:pPr>
        <w:pStyle w:val="NormalWeb"/>
        <w:shd w:val="clear" w:color="auto" w:fill="FFFFFF"/>
        <w:rPr>
          <w:rFonts w:ascii="Arial" w:hAnsi="Arial" w:cs="Arial"/>
        </w:rPr>
      </w:pPr>
      <w:r w:rsidRPr="009B17E4">
        <w:rPr>
          <w:rFonts w:ascii="Arial" w:hAnsi="Arial" w:cs="Arial"/>
        </w:rPr>
        <w:t>Traders identify and invest in securities that they identify as mispriced in relation to each other. The trader opts to go long in a commodity while, at the same time, taking a </w:t>
      </w:r>
      <w:hyperlink r:id="rId38" w:history="1">
        <w:r w:rsidRPr="009B17E4">
          <w:rPr>
            <w:rStyle w:val="Hyperlink"/>
            <w:rFonts w:ascii="Arial" w:hAnsi="Arial" w:cs="Arial"/>
            <w:color w:val="auto"/>
            <w:u w:val="none"/>
          </w:rPr>
          <w:t>short position</w:t>
        </w:r>
      </w:hyperlink>
      <w:r w:rsidRPr="009B17E4">
        <w:rPr>
          <w:rFonts w:ascii="Arial" w:hAnsi="Arial" w:cs="Arial"/>
        </w:rPr>
        <w:t> for the corresponding financial derivative and selling it off.</w:t>
      </w:r>
    </w:p>
    <w:p w14:paraId="0DC22A22" w14:textId="77777777" w:rsidR="009B17E4" w:rsidRPr="009B17E4" w:rsidRDefault="009B17E4" w:rsidP="009B17E4">
      <w:pPr>
        <w:pStyle w:val="NormalWeb"/>
        <w:shd w:val="clear" w:color="auto" w:fill="FFFFFF"/>
        <w:rPr>
          <w:rFonts w:ascii="Arial" w:hAnsi="Arial" w:cs="Arial"/>
        </w:rPr>
      </w:pPr>
      <w:r w:rsidRPr="009B17E4">
        <w:rPr>
          <w:rFonts w:ascii="Arial" w:hAnsi="Arial" w:cs="Arial"/>
        </w:rPr>
        <w:t>The commodity purchased is held until the </w:t>
      </w:r>
      <w:hyperlink r:id="rId39" w:history="1">
        <w:r w:rsidRPr="009B17E4">
          <w:rPr>
            <w:rStyle w:val="Hyperlink"/>
            <w:rFonts w:ascii="Arial" w:hAnsi="Arial" w:cs="Arial"/>
            <w:color w:val="auto"/>
            <w:u w:val="none"/>
          </w:rPr>
          <w:t>expiration date</w:t>
        </w:r>
      </w:hyperlink>
      <w:r w:rsidRPr="009B17E4">
        <w:rPr>
          <w:rFonts w:ascii="Arial" w:hAnsi="Arial" w:cs="Arial"/>
        </w:rPr>
        <w:t>, i.e., the delivery date of the corresponding contract. The trader then delivers the underlying against the corresponding contract and locks in a riskless profit. The profit earned by the trader is determined by the purchase price of the underlying plus its total carrying cost.</w:t>
      </w:r>
    </w:p>
    <w:p w14:paraId="6CD72521" w14:textId="77777777" w:rsidR="009B17E4" w:rsidRPr="009B17E4" w:rsidRDefault="009B17E4" w:rsidP="009B17E4">
      <w:pPr>
        <w:pStyle w:val="NormalWeb"/>
        <w:shd w:val="clear" w:color="auto" w:fill="FFFFFF"/>
        <w:rPr>
          <w:rFonts w:ascii="Arial" w:hAnsi="Arial" w:cs="Arial"/>
        </w:rPr>
      </w:pPr>
      <w:r w:rsidRPr="009B17E4">
        <w:rPr>
          <w:rFonts w:ascii="Arial" w:hAnsi="Arial" w:cs="Arial"/>
        </w:rPr>
        <w:t>By shorting the corresponding contract, the investor locks in a sale at the price at which the contract is priced. Hence, the investor will already have determined the </w:t>
      </w:r>
      <w:hyperlink r:id="rId40" w:tgtFrame="_blank" w:history="1">
        <w:r w:rsidRPr="009B17E4">
          <w:rPr>
            <w:rStyle w:val="Hyperlink"/>
            <w:rFonts w:ascii="Arial" w:hAnsi="Arial" w:cs="Arial"/>
            <w:color w:val="auto"/>
            <w:u w:val="none"/>
          </w:rPr>
          <w:t>sale price</w:t>
        </w:r>
      </w:hyperlink>
      <w:r w:rsidRPr="009B17E4">
        <w:rPr>
          <w:rFonts w:ascii="Arial" w:hAnsi="Arial" w:cs="Arial"/>
        </w:rPr>
        <w:t xml:space="preserve">. If the purchase price of the underlying plus </w:t>
      </w:r>
      <w:proofErr w:type="gramStart"/>
      <w:r w:rsidRPr="009B17E4">
        <w:rPr>
          <w:rFonts w:ascii="Arial" w:hAnsi="Arial" w:cs="Arial"/>
        </w:rPr>
        <w:t>its</w:t>
      </w:r>
      <w:proofErr w:type="gramEnd"/>
      <w:r w:rsidRPr="009B17E4">
        <w:rPr>
          <w:rFonts w:ascii="Arial" w:hAnsi="Arial" w:cs="Arial"/>
        </w:rPr>
        <w:t xml:space="preserve"> carrying cost is less than the price at which the contract is sold, the trader makes a riskless profit by exploiting this mismatch of prices.</w:t>
      </w:r>
    </w:p>
    <w:p w14:paraId="05FF86C5" w14:textId="4427E1FB" w:rsidR="009B17E4" w:rsidRPr="009B17E4" w:rsidRDefault="009B17E4" w:rsidP="009B17E4">
      <w:pPr>
        <w:pStyle w:val="NormalWeb"/>
        <w:shd w:val="clear" w:color="auto" w:fill="FFFFFF"/>
        <w:rPr>
          <w:rFonts w:ascii="Arial" w:hAnsi="Arial" w:cs="Arial"/>
          <w:color w:val="374151"/>
        </w:rPr>
      </w:pPr>
      <w:proofErr w:type="gramStart"/>
      <w:r w:rsidRPr="009B17E4">
        <w:rPr>
          <w:rFonts w:ascii="Arial" w:hAnsi="Arial" w:cs="Arial"/>
          <w:spacing w:val="1"/>
          <w:shd w:val="clear" w:color="auto" w:fill="FFFFFF"/>
        </w:rPr>
        <w:t>Example :</w:t>
      </w:r>
      <w:proofErr w:type="gramEnd"/>
      <w:r w:rsidRPr="009B17E4">
        <w:rPr>
          <w:rFonts w:ascii="Arial" w:hAnsi="Arial" w:cs="Arial"/>
          <w:spacing w:val="1"/>
          <w:shd w:val="clear" w:color="auto" w:fill="FFFFFF"/>
        </w:rPr>
        <w:t xml:space="preserve"> </w:t>
      </w:r>
      <w:r w:rsidRPr="009B17E4">
        <w:rPr>
          <w:rFonts w:ascii="Arial" w:hAnsi="Arial" w:cs="Arial"/>
          <w:color w:val="374151"/>
        </w:rPr>
        <w:t xml:space="preserve">An underlying asset currently trades at </w:t>
      </w:r>
      <w:r w:rsidR="00DC1BB7">
        <w:rPr>
          <w:rFonts w:ascii="Arial" w:hAnsi="Arial" w:cs="Arial"/>
          <w:color w:val="374151"/>
        </w:rPr>
        <w:t>₹</w:t>
      </w:r>
      <w:r w:rsidRPr="009B17E4">
        <w:rPr>
          <w:rFonts w:ascii="Arial" w:hAnsi="Arial" w:cs="Arial"/>
          <w:color w:val="374151"/>
        </w:rPr>
        <w:t xml:space="preserve">102 in the market, with a total of </w:t>
      </w:r>
      <w:r w:rsidR="00DC1BB7">
        <w:rPr>
          <w:rFonts w:ascii="Arial" w:hAnsi="Arial" w:cs="Arial"/>
          <w:color w:val="374151"/>
        </w:rPr>
        <w:t>₹</w:t>
      </w:r>
      <w:r w:rsidRPr="009B17E4">
        <w:rPr>
          <w:rFonts w:ascii="Arial" w:hAnsi="Arial" w:cs="Arial"/>
          <w:color w:val="374151"/>
        </w:rPr>
        <w:t>3 worth of carrying costs associated with it. Additionally, there is a </w:t>
      </w:r>
      <w:hyperlink r:id="rId41" w:history="1">
        <w:r w:rsidRPr="009B17E4">
          <w:rPr>
            <w:rStyle w:val="Hyperlink"/>
            <w:rFonts w:ascii="Arial" w:hAnsi="Arial" w:cs="Arial"/>
            <w:color w:val="004993"/>
          </w:rPr>
          <w:t>futures contract</w:t>
        </w:r>
      </w:hyperlink>
      <w:r w:rsidRPr="009B17E4">
        <w:rPr>
          <w:rFonts w:ascii="Arial" w:hAnsi="Arial" w:cs="Arial"/>
          <w:color w:val="374151"/>
        </w:rPr>
        <w:t xml:space="preserve"> priced at </w:t>
      </w:r>
      <w:r w:rsidR="00DC1BB7">
        <w:rPr>
          <w:rFonts w:ascii="Arial" w:hAnsi="Arial" w:cs="Arial"/>
          <w:color w:val="374151"/>
        </w:rPr>
        <w:t>₹</w:t>
      </w:r>
      <w:r w:rsidRPr="009B17E4">
        <w:rPr>
          <w:rFonts w:ascii="Arial" w:hAnsi="Arial" w:cs="Arial"/>
          <w:color w:val="374151"/>
        </w:rPr>
        <w:t>108. An investor identifies said securities in the market and invests in them, with an aim to arbitrage a profit out of the securities using the cash and carry strategy.</w:t>
      </w:r>
    </w:p>
    <w:p w14:paraId="36E1F73A" w14:textId="065200FC" w:rsidR="009B17E4" w:rsidRPr="009B17E4" w:rsidRDefault="009B17E4" w:rsidP="009B17E4">
      <w:pPr>
        <w:pStyle w:val="NormalWeb"/>
        <w:shd w:val="clear" w:color="auto" w:fill="FFFFFF"/>
        <w:rPr>
          <w:rFonts w:ascii="Arial" w:hAnsi="Arial" w:cs="Arial"/>
          <w:color w:val="374151"/>
        </w:rPr>
      </w:pPr>
      <w:r w:rsidRPr="009B17E4">
        <w:rPr>
          <w:rFonts w:ascii="Arial" w:hAnsi="Arial" w:cs="Arial"/>
          <w:color w:val="374151"/>
        </w:rPr>
        <w:t xml:space="preserve">The investor purchases the underlying at </w:t>
      </w:r>
      <w:r w:rsidR="00DC1BB7">
        <w:rPr>
          <w:rFonts w:ascii="Arial" w:hAnsi="Arial" w:cs="Arial"/>
          <w:color w:val="374151"/>
        </w:rPr>
        <w:t>₹</w:t>
      </w:r>
      <w:r w:rsidRPr="009B17E4">
        <w:rPr>
          <w:rFonts w:ascii="Arial" w:hAnsi="Arial" w:cs="Arial"/>
          <w:color w:val="374151"/>
        </w:rPr>
        <w:t xml:space="preserve">102, opting for a long position. He simultaneously also shorts the futures contract at </w:t>
      </w:r>
      <w:r w:rsidR="00DC1BB7">
        <w:rPr>
          <w:rFonts w:ascii="Arial" w:hAnsi="Arial" w:cs="Arial"/>
          <w:color w:val="374151"/>
        </w:rPr>
        <w:t>₹</w:t>
      </w:r>
      <w:r w:rsidRPr="009B17E4">
        <w:rPr>
          <w:rFonts w:ascii="Arial" w:hAnsi="Arial" w:cs="Arial"/>
          <w:color w:val="374151"/>
        </w:rPr>
        <w:t xml:space="preserve">108 and sells it off. By shorting the futures contract, the investor locks in a sale at </w:t>
      </w:r>
      <w:r w:rsidR="00DC1BB7">
        <w:rPr>
          <w:rFonts w:ascii="Arial" w:hAnsi="Arial" w:cs="Arial"/>
          <w:color w:val="374151"/>
        </w:rPr>
        <w:t>₹</w:t>
      </w:r>
      <w:r w:rsidRPr="009B17E4">
        <w:rPr>
          <w:rFonts w:ascii="Arial" w:hAnsi="Arial" w:cs="Arial"/>
          <w:color w:val="374151"/>
        </w:rPr>
        <w:t>108. The investor will hold the underlying until the delivery date (i.e., expiration date) of the futures and then delivers it on the date against the futures contract.</w:t>
      </w:r>
    </w:p>
    <w:p w14:paraId="15D646BD" w14:textId="27B4BD8E" w:rsidR="009B17E4" w:rsidRDefault="009B17E4" w:rsidP="009B17E4">
      <w:pPr>
        <w:pStyle w:val="NormalWeb"/>
        <w:shd w:val="clear" w:color="auto" w:fill="FFFFFF"/>
        <w:rPr>
          <w:rFonts w:ascii="Arial" w:hAnsi="Arial" w:cs="Arial"/>
          <w:color w:val="374151"/>
        </w:rPr>
      </w:pPr>
      <w:r w:rsidRPr="009B17E4">
        <w:rPr>
          <w:rFonts w:ascii="Arial" w:hAnsi="Arial" w:cs="Arial"/>
          <w:color w:val="374151"/>
        </w:rPr>
        <w:lastRenderedPageBreak/>
        <w:t xml:space="preserve">Now, the cost of the underlying is </w:t>
      </w:r>
      <w:r w:rsidR="00DC1BB7">
        <w:rPr>
          <w:rFonts w:ascii="Arial" w:hAnsi="Arial" w:cs="Arial"/>
          <w:color w:val="374151"/>
        </w:rPr>
        <w:t>₹</w:t>
      </w:r>
      <w:r w:rsidRPr="009B17E4">
        <w:rPr>
          <w:rFonts w:ascii="Arial" w:hAnsi="Arial" w:cs="Arial"/>
          <w:color w:val="374151"/>
        </w:rPr>
        <w:t xml:space="preserve">105 (the cost it was priced at plus </w:t>
      </w:r>
      <w:proofErr w:type="gramStart"/>
      <w:r w:rsidRPr="009B17E4">
        <w:rPr>
          <w:rFonts w:ascii="Arial" w:hAnsi="Arial" w:cs="Arial"/>
          <w:color w:val="374151"/>
        </w:rPr>
        <w:t>its</w:t>
      </w:r>
      <w:proofErr w:type="gramEnd"/>
      <w:r w:rsidRPr="009B17E4">
        <w:rPr>
          <w:rFonts w:ascii="Arial" w:hAnsi="Arial" w:cs="Arial"/>
          <w:color w:val="374151"/>
        </w:rPr>
        <w:t xml:space="preserve"> carrying cost), but the sale locked in by the investor was </w:t>
      </w:r>
      <w:r w:rsidR="00DC1BB7">
        <w:rPr>
          <w:rFonts w:ascii="Arial" w:hAnsi="Arial" w:cs="Arial"/>
          <w:color w:val="374151"/>
        </w:rPr>
        <w:t>₹</w:t>
      </w:r>
      <w:r w:rsidRPr="009B17E4">
        <w:rPr>
          <w:rFonts w:ascii="Arial" w:hAnsi="Arial" w:cs="Arial"/>
          <w:color w:val="374151"/>
        </w:rPr>
        <w:t xml:space="preserve">108 by shorting the futures. The investor hence arbitrages a profit of </w:t>
      </w:r>
      <w:r w:rsidR="00DC1BB7">
        <w:rPr>
          <w:rFonts w:ascii="Arial" w:hAnsi="Arial" w:cs="Arial"/>
          <w:color w:val="374151"/>
        </w:rPr>
        <w:t>₹</w:t>
      </w:r>
      <w:r w:rsidRPr="009B17E4">
        <w:rPr>
          <w:rFonts w:ascii="Arial" w:hAnsi="Arial" w:cs="Arial"/>
          <w:color w:val="374151"/>
        </w:rPr>
        <w:t>3 by exploiting the </w:t>
      </w:r>
      <w:hyperlink r:id="rId42" w:history="1">
        <w:r w:rsidRPr="009B17E4">
          <w:rPr>
            <w:rStyle w:val="Hyperlink"/>
            <w:rFonts w:ascii="Arial" w:hAnsi="Arial" w:cs="Arial"/>
            <w:color w:val="auto"/>
            <w:u w:val="none"/>
          </w:rPr>
          <w:t>mispricing</w:t>
        </w:r>
      </w:hyperlink>
      <w:r w:rsidRPr="009B17E4">
        <w:rPr>
          <w:rFonts w:ascii="Arial" w:hAnsi="Arial" w:cs="Arial"/>
        </w:rPr>
        <w:t> </w:t>
      </w:r>
      <w:r w:rsidRPr="009B17E4">
        <w:rPr>
          <w:rFonts w:ascii="Arial" w:hAnsi="Arial" w:cs="Arial"/>
          <w:color w:val="374151"/>
        </w:rPr>
        <w:t>between the securities to their advantage.</w:t>
      </w:r>
    </w:p>
    <w:p w14:paraId="362481BD" w14:textId="174E2A12" w:rsidR="009B17E4" w:rsidRDefault="009B17E4" w:rsidP="009B17E4">
      <w:pPr>
        <w:pStyle w:val="NormalWeb"/>
        <w:shd w:val="clear" w:color="auto" w:fill="FFFFFF"/>
        <w:rPr>
          <w:rFonts w:ascii="Arial" w:hAnsi="Arial" w:cs="Arial"/>
          <w:color w:val="374151"/>
          <w:shd w:val="clear" w:color="auto" w:fill="FFFFFF"/>
        </w:rPr>
      </w:pPr>
      <w:r w:rsidRPr="009B17E4">
        <w:rPr>
          <w:rFonts w:ascii="Arial" w:hAnsi="Arial" w:cs="Arial"/>
          <w:color w:val="374151"/>
          <w:shd w:val="clear" w:color="auto" w:fill="FFFFFF"/>
        </w:rPr>
        <w:t xml:space="preserve">In cash and carry arbitrage, the acquisition cost of the underlying is certain; however, there is no certainty with regards to </w:t>
      </w:r>
      <w:proofErr w:type="gramStart"/>
      <w:r w:rsidRPr="009B17E4">
        <w:rPr>
          <w:rFonts w:ascii="Arial" w:hAnsi="Arial" w:cs="Arial"/>
          <w:color w:val="374151"/>
          <w:shd w:val="clear" w:color="auto" w:fill="FFFFFF"/>
        </w:rPr>
        <w:t>its</w:t>
      </w:r>
      <w:proofErr w:type="gramEnd"/>
      <w:r w:rsidRPr="009B17E4">
        <w:rPr>
          <w:rFonts w:ascii="Arial" w:hAnsi="Arial" w:cs="Arial"/>
          <w:color w:val="374151"/>
          <w:shd w:val="clear" w:color="auto" w:fill="FFFFFF"/>
        </w:rPr>
        <w:t xml:space="preserve"> carrying costs. </w:t>
      </w:r>
      <w:proofErr w:type="gramStart"/>
      <w:r w:rsidRPr="009B17E4">
        <w:rPr>
          <w:rFonts w:ascii="Arial" w:hAnsi="Arial" w:cs="Arial"/>
          <w:color w:val="374151"/>
          <w:shd w:val="clear" w:color="auto" w:fill="FFFFFF"/>
        </w:rPr>
        <w:t>In the event that</w:t>
      </w:r>
      <w:proofErr w:type="gramEnd"/>
      <w:r w:rsidRPr="009B17E4">
        <w:rPr>
          <w:rFonts w:ascii="Arial" w:hAnsi="Arial" w:cs="Arial"/>
          <w:color w:val="374151"/>
          <w:shd w:val="clear" w:color="auto" w:fill="FFFFFF"/>
        </w:rPr>
        <w:t xml:space="preserve"> the carrying costs of the underlying increase and rise beyond the locked-in sale price of the corresponding contract, the investor incurs a loss instead of a profit.</w:t>
      </w:r>
    </w:p>
    <w:p w14:paraId="5B125F07" w14:textId="7327556F" w:rsidR="009B17E4" w:rsidRDefault="00533FD4" w:rsidP="00B65110">
      <w:pPr>
        <w:pStyle w:val="NormalWeb"/>
        <w:shd w:val="clear" w:color="auto" w:fill="FFFFFF"/>
        <w:ind w:left="1440" w:firstLine="720"/>
        <w:rPr>
          <w:rFonts w:ascii="Arial" w:hAnsi="Arial" w:cs="Arial"/>
          <w:color w:val="374151"/>
          <w:shd w:val="clear" w:color="auto" w:fill="FFFFFF"/>
        </w:rPr>
      </w:pPr>
      <w:r>
        <w:rPr>
          <w:rFonts w:ascii="Arial" w:hAnsi="Arial" w:cs="Arial"/>
          <w:color w:val="374151"/>
          <w:shd w:val="clear" w:color="auto" w:fill="FFFFFF"/>
        </w:rPr>
        <w:t>Reverse Cash and Carry arbitrage</w:t>
      </w:r>
    </w:p>
    <w:p w14:paraId="2831C084" w14:textId="4778219E" w:rsidR="00B65110" w:rsidRPr="00DC1BB7" w:rsidRDefault="00B65110" w:rsidP="00DC1BB7">
      <w:pPr>
        <w:pStyle w:val="NormalWeb"/>
        <w:shd w:val="clear" w:color="auto" w:fill="FFFFFF"/>
        <w:jc w:val="both"/>
        <w:rPr>
          <w:rFonts w:ascii="Arial" w:hAnsi="Arial" w:cs="Arial"/>
          <w:color w:val="374151"/>
        </w:rPr>
      </w:pPr>
      <w:r w:rsidRPr="00DC1BB7">
        <w:rPr>
          <w:rFonts w:ascii="Arial" w:hAnsi="Arial" w:cs="Arial"/>
          <w:color w:val="374151"/>
        </w:rPr>
        <w:t>In the reverse cash and carry arbitrage strategy, the trader takes a short position in the spot price of a commodity and a long position on its future price. It is different from being short in equities. In commodities trading, the trader must consider the storage and carry cost when calculating the value in a commodity’s future price and deciding if the strategy is worthwhile.</w:t>
      </w:r>
      <w:r w:rsidR="00001547" w:rsidRPr="00DC1BB7">
        <w:rPr>
          <w:rFonts w:ascii="Arial" w:hAnsi="Arial" w:cs="Arial"/>
          <w:color w:val="374151"/>
        </w:rPr>
        <w:t xml:space="preserve"> This is seen in markets having backwardation or where future prices are at discount to the spot prices.</w:t>
      </w:r>
    </w:p>
    <w:p w14:paraId="4E36BF4D" w14:textId="4B761C60" w:rsidR="00001547" w:rsidRPr="00DC1BB7" w:rsidRDefault="00001547" w:rsidP="00DC1BB7">
      <w:pPr>
        <w:pStyle w:val="NormalWeb"/>
        <w:shd w:val="clear" w:color="auto" w:fill="FFFFFF"/>
        <w:jc w:val="both"/>
        <w:rPr>
          <w:rFonts w:ascii="Arial" w:hAnsi="Arial" w:cs="Arial"/>
          <w:color w:val="374151"/>
        </w:rPr>
      </w:pPr>
      <w:r w:rsidRPr="00DC1BB7">
        <w:rPr>
          <w:rFonts w:ascii="Arial" w:hAnsi="Arial" w:cs="Arial"/>
          <w:color w:val="374151"/>
        </w:rPr>
        <w:t xml:space="preserve">In this strategy the carrying costs of the commodity or the cost for holding the commodity, </w:t>
      </w:r>
      <w:proofErr w:type="spellStart"/>
      <w:r w:rsidRPr="00DC1BB7">
        <w:rPr>
          <w:rFonts w:ascii="Arial" w:hAnsi="Arial" w:cs="Arial"/>
          <w:color w:val="374151"/>
        </w:rPr>
        <w:t>eg</w:t>
      </w:r>
      <w:proofErr w:type="spellEnd"/>
      <w:r w:rsidRPr="00DC1BB7">
        <w:rPr>
          <w:rFonts w:ascii="Arial" w:hAnsi="Arial" w:cs="Arial"/>
          <w:color w:val="374151"/>
        </w:rPr>
        <w:t xml:space="preserve"> storage costs, etc is very important. </w:t>
      </w:r>
    </w:p>
    <w:p w14:paraId="56E114B1" w14:textId="5A2810FC" w:rsidR="00001547" w:rsidRPr="00DC1BB7" w:rsidRDefault="00001547" w:rsidP="00DC1BB7">
      <w:pPr>
        <w:pStyle w:val="NormalWeb"/>
        <w:shd w:val="clear" w:color="auto" w:fill="FFFFFF"/>
        <w:jc w:val="both"/>
        <w:rPr>
          <w:rFonts w:ascii="Arial" w:hAnsi="Arial" w:cs="Arial"/>
          <w:color w:val="374151"/>
        </w:rPr>
      </w:pPr>
      <w:r w:rsidRPr="00DC1BB7">
        <w:rPr>
          <w:rFonts w:ascii="Arial" w:hAnsi="Arial" w:cs="Arial"/>
          <w:color w:val="374151"/>
        </w:rPr>
        <w:t xml:space="preserve">In a market where the spot market prices are more than the future market prices, the trader shorts at the spot market and longs at the future market. Example, if the spot prices are at 104, future prices at 100, carrying costs are 3, then reverse cash and </w:t>
      </w:r>
      <w:proofErr w:type="gramStart"/>
      <w:r w:rsidRPr="00DC1BB7">
        <w:rPr>
          <w:rFonts w:ascii="Arial" w:hAnsi="Arial" w:cs="Arial"/>
          <w:color w:val="374151"/>
        </w:rPr>
        <w:t>carry  arbitrage</w:t>
      </w:r>
      <w:proofErr w:type="gramEnd"/>
      <w:r w:rsidRPr="00DC1BB7">
        <w:rPr>
          <w:rFonts w:ascii="Arial" w:hAnsi="Arial" w:cs="Arial"/>
          <w:color w:val="374151"/>
        </w:rPr>
        <w:t xml:space="preserve"> is 104-3 – 100 = 1</w:t>
      </w:r>
    </w:p>
    <w:p w14:paraId="3F04D244" w14:textId="77777777" w:rsidR="00001547" w:rsidRPr="00DC1BB7" w:rsidRDefault="00001547" w:rsidP="00DC1BB7">
      <w:pPr>
        <w:pStyle w:val="NormalWeb"/>
        <w:shd w:val="clear" w:color="auto" w:fill="FFFFFF"/>
        <w:jc w:val="both"/>
        <w:rPr>
          <w:rFonts w:ascii="Arial" w:hAnsi="Arial" w:cs="Arial"/>
          <w:color w:val="374151"/>
        </w:rPr>
      </w:pPr>
      <w:r w:rsidRPr="00DC1BB7">
        <w:rPr>
          <w:rFonts w:ascii="Arial" w:hAnsi="Arial" w:cs="Arial"/>
          <w:color w:val="374151"/>
        </w:rPr>
        <w:t>Utilizing the above trading style to take advantage of mismatches in the market is not without inherent risks. For example, the carrying costs could fluctuate within the one-year timeframe. As such, traders practicing reverse cash and carry must also be aware of potential fluctuations in the external costs that could impact the profitability of a trade significantly.</w:t>
      </w:r>
    </w:p>
    <w:p w14:paraId="51B46B39" w14:textId="3E1118C9" w:rsidR="00001547" w:rsidRPr="00DC1BB7" w:rsidRDefault="00001547" w:rsidP="00DC1BB7">
      <w:pPr>
        <w:pStyle w:val="NormalWeb"/>
        <w:shd w:val="clear" w:color="auto" w:fill="FFFFFF"/>
        <w:jc w:val="both"/>
        <w:rPr>
          <w:rFonts w:ascii="Arial" w:hAnsi="Arial" w:cs="Arial"/>
          <w:color w:val="374151"/>
        </w:rPr>
      </w:pPr>
      <w:r w:rsidRPr="00DC1BB7">
        <w:rPr>
          <w:rFonts w:ascii="Arial" w:hAnsi="Arial" w:cs="Arial"/>
          <w:color w:val="374151"/>
        </w:rPr>
        <w:t>Carrying costs influence availability of rever</w:t>
      </w:r>
      <w:r w:rsidR="00C21C9C" w:rsidRPr="00DC1BB7">
        <w:rPr>
          <w:rFonts w:ascii="Arial" w:hAnsi="Arial" w:cs="Arial"/>
          <w:color w:val="374151"/>
        </w:rPr>
        <w:t>s</w:t>
      </w:r>
      <w:r w:rsidRPr="00DC1BB7">
        <w:rPr>
          <w:rFonts w:ascii="Arial" w:hAnsi="Arial" w:cs="Arial"/>
          <w:color w:val="374151"/>
        </w:rPr>
        <w:t>e</w:t>
      </w:r>
      <w:r w:rsidR="00C21C9C" w:rsidRPr="00DC1BB7">
        <w:rPr>
          <w:rFonts w:ascii="Arial" w:hAnsi="Arial" w:cs="Arial"/>
          <w:color w:val="374151"/>
        </w:rPr>
        <w:t xml:space="preserve"> cash and carry arbitrage. They are storage cost, transportation cost, financing, insurance.</w:t>
      </w:r>
    </w:p>
    <w:p w14:paraId="1D2814D0" w14:textId="17EEA275" w:rsidR="00C21C9C" w:rsidRPr="00DC1BB7" w:rsidRDefault="00C21C9C" w:rsidP="00DC1BB7">
      <w:pPr>
        <w:pStyle w:val="NormalWeb"/>
        <w:shd w:val="clear" w:color="auto" w:fill="FFFFFF"/>
        <w:jc w:val="both"/>
        <w:rPr>
          <w:rFonts w:ascii="Arial" w:hAnsi="Arial" w:cs="Arial"/>
          <w:color w:val="374151"/>
        </w:rPr>
      </w:pPr>
      <w:r w:rsidRPr="00DC1BB7">
        <w:rPr>
          <w:rFonts w:ascii="Arial" w:hAnsi="Arial" w:cs="Arial"/>
          <w:color w:val="374151"/>
        </w:rPr>
        <w:tab/>
      </w:r>
      <w:r w:rsidRPr="00DC1BB7">
        <w:rPr>
          <w:rFonts w:ascii="Arial" w:hAnsi="Arial" w:cs="Arial"/>
          <w:color w:val="374151"/>
        </w:rPr>
        <w:tab/>
      </w:r>
      <w:r w:rsidRPr="00DC1BB7">
        <w:rPr>
          <w:rFonts w:ascii="Arial" w:hAnsi="Arial" w:cs="Arial"/>
          <w:color w:val="374151"/>
        </w:rPr>
        <w:tab/>
        <w:t>Payoff charts for future contracts</w:t>
      </w:r>
    </w:p>
    <w:p w14:paraId="314D6E8E" w14:textId="133CDE65" w:rsidR="000E7E34" w:rsidRPr="00DC1BB7" w:rsidRDefault="008F06E7" w:rsidP="00DC1BB7">
      <w:pPr>
        <w:pStyle w:val="NormalWeb"/>
        <w:shd w:val="clear" w:color="auto" w:fill="FFFFFF"/>
        <w:jc w:val="both"/>
        <w:rPr>
          <w:rFonts w:ascii="Arial" w:hAnsi="Arial" w:cs="Arial"/>
          <w:color w:val="374151"/>
        </w:rPr>
      </w:pPr>
      <w:r w:rsidRPr="00DC1BB7">
        <w:rPr>
          <w:rFonts w:ascii="Arial" w:hAnsi="Arial" w:cs="Arial"/>
          <w:color w:val="374151"/>
        </w:rPr>
        <w:t xml:space="preserve">Future contracts are traded in the exchanges. They are either bought (long) or sold (short) at the current date. The prices at which they are bought or sold are related to a future date which is known as expiry date. Now the actual price on the day of expiry is determined only on the day of settlement. This price is known as the settlement price. The </w:t>
      </w:r>
      <w:r w:rsidR="000E7E34" w:rsidRPr="00DC1BB7">
        <w:rPr>
          <w:rFonts w:ascii="Arial" w:hAnsi="Arial" w:cs="Arial"/>
          <w:color w:val="374151"/>
        </w:rPr>
        <w:t xml:space="preserve">profit / loss </w:t>
      </w:r>
      <w:r w:rsidRPr="00DC1BB7">
        <w:rPr>
          <w:rFonts w:ascii="Arial" w:hAnsi="Arial" w:cs="Arial"/>
          <w:color w:val="374151"/>
        </w:rPr>
        <w:t xml:space="preserve">calculation is done on the difference between settlement price and the contract price. If the future </w:t>
      </w:r>
      <w:r w:rsidR="003422B7" w:rsidRPr="00DC1BB7">
        <w:rPr>
          <w:rFonts w:ascii="Arial" w:hAnsi="Arial" w:cs="Arial"/>
          <w:color w:val="374151"/>
        </w:rPr>
        <w:t xml:space="preserve">contract </w:t>
      </w:r>
      <w:r w:rsidRPr="00DC1BB7">
        <w:rPr>
          <w:rFonts w:ascii="Arial" w:hAnsi="Arial" w:cs="Arial"/>
          <w:color w:val="374151"/>
        </w:rPr>
        <w:t>was a long one</w:t>
      </w:r>
      <w:r w:rsidR="003422B7" w:rsidRPr="00DC1BB7">
        <w:rPr>
          <w:rFonts w:ascii="Arial" w:hAnsi="Arial" w:cs="Arial"/>
          <w:color w:val="374151"/>
        </w:rPr>
        <w:t>,</w:t>
      </w:r>
      <w:r w:rsidRPr="00DC1BB7">
        <w:rPr>
          <w:rFonts w:ascii="Arial" w:hAnsi="Arial" w:cs="Arial"/>
          <w:color w:val="374151"/>
        </w:rPr>
        <w:t xml:space="preserve"> profit is made if the settlement price is more than the contract price.  As the contract price increases, the profit diminishes. Finally</w:t>
      </w:r>
      <w:r w:rsidR="000E7E34" w:rsidRPr="00DC1BB7">
        <w:rPr>
          <w:rFonts w:ascii="Arial" w:hAnsi="Arial" w:cs="Arial"/>
          <w:color w:val="374151"/>
        </w:rPr>
        <w:t xml:space="preserve">, </w:t>
      </w:r>
      <w:r w:rsidRPr="00DC1BB7">
        <w:rPr>
          <w:rFonts w:ascii="Arial" w:hAnsi="Arial" w:cs="Arial"/>
          <w:color w:val="374151"/>
        </w:rPr>
        <w:t xml:space="preserve">if the final contract price of a long contract is more than the </w:t>
      </w:r>
      <w:r w:rsidR="000E7E34" w:rsidRPr="00DC1BB7">
        <w:rPr>
          <w:rFonts w:ascii="Arial" w:hAnsi="Arial" w:cs="Arial"/>
          <w:color w:val="374151"/>
        </w:rPr>
        <w:t xml:space="preserve">settlement price, losses start increasing. </w:t>
      </w:r>
      <w:r w:rsidR="003422B7" w:rsidRPr="00DC1BB7">
        <w:rPr>
          <w:rFonts w:ascii="Arial" w:hAnsi="Arial" w:cs="Arial"/>
          <w:color w:val="374151"/>
        </w:rPr>
        <w:t>P</w:t>
      </w:r>
      <w:r w:rsidR="000E7E34" w:rsidRPr="00DC1BB7">
        <w:rPr>
          <w:rFonts w:ascii="Arial" w:hAnsi="Arial" w:cs="Arial"/>
          <w:color w:val="374151"/>
        </w:rPr>
        <w:t>ayoff diagram shows the amount of profit or loss that is possible with the rise or fall of contract prices. The graph is an upward moving cu</w:t>
      </w:r>
      <w:r w:rsidR="003422B7" w:rsidRPr="00DC1BB7">
        <w:rPr>
          <w:rFonts w:ascii="Arial" w:hAnsi="Arial" w:cs="Arial"/>
          <w:color w:val="374151"/>
        </w:rPr>
        <w:t>r</w:t>
      </w:r>
      <w:r w:rsidR="000E7E34" w:rsidRPr="00DC1BB7">
        <w:rPr>
          <w:rFonts w:ascii="Arial" w:hAnsi="Arial" w:cs="Arial"/>
          <w:color w:val="374151"/>
        </w:rPr>
        <w:t>ve.</w:t>
      </w:r>
    </w:p>
    <w:p w14:paraId="51AEEC39" w14:textId="2199693D" w:rsidR="00922850" w:rsidRPr="00DC1BB7" w:rsidRDefault="000E7E34" w:rsidP="00DC1BB7">
      <w:pPr>
        <w:pStyle w:val="NormalWeb"/>
        <w:shd w:val="clear" w:color="auto" w:fill="FFFFFF"/>
        <w:jc w:val="both"/>
        <w:rPr>
          <w:rFonts w:ascii="Arial" w:hAnsi="Arial" w:cs="Arial"/>
          <w:color w:val="374151"/>
        </w:rPr>
      </w:pPr>
      <w:r w:rsidRPr="00DC1BB7">
        <w:rPr>
          <w:rFonts w:ascii="Arial" w:hAnsi="Arial" w:cs="Arial"/>
          <w:color w:val="374151"/>
        </w:rPr>
        <w:lastRenderedPageBreak/>
        <w:t xml:space="preserve">Likewise, </w:t>
      </w:r>
      <w:r w:rsidR="003422B7" w:rsidRPr="00DC1BB7">
        <w:rPr>
          <w:rFonts w:ascii="Arial" w:hAnsi="Arial" w:cs="Arial"/>
          <w:color w:val="374151"/>
        </w:rPr>
        <w:t xml:space="preserve">if the contract was a short one, the future contract is sold in the futures exchange. So, if the settlement price is less than the contract price, there is profit. </w:t>
      </w:r>
      <w:r w:rsidR="008F06E7" w:rsidRPr="00DC1BB7">
        <w:rPr>
          <w:rFonts w:ascii="Arial" w:hAnsi="Arial" w:cs="Arial"/>
          <w:color w:val="374151"/>
        </w:rPr>
        <w:t xml:space="preserve"> </w:t>
      </w:r>
      <w:r w:rsidR="003422B7" w:rsidRPr="00DC1BB7">
        <w:rPr>
          <w:rFonts w:ascii="Arial" w:hAnsi="Arial" w:cs="Arial"/>
          <w:color w:val="374151"/>
        </w:rPr>
        <w:t xml:space="preserve">If the future contract price decreases the profit decreases and if it is below the settlement price, the losses increase. The payoff diagram is a downward moving curve. This shows the probable profit or loss that may result </w:t>
      </w:r>
      <w:r w:rsidR="00BF47E8" w:rsidRPr="00DC1BB7">
        <w:rPr>
          <w:rFonts w:ascii="Arial" w:hAnsi="Arial" w:cs="Arial"/>
          <w:color w:val="374151"/>
        </w:rPr>
        <w:t xml:space="preserve">with respect to a settlement price. </w:t>
      </w:r>
    </w:p>
    <w:p w14:paraId="7B0D189D" w14:textId="7DC5A1AC" w:rsidR="00922850" w:rsidRPr="00DC1BB7" w:rsidRDefault="00BF47E8" w:rsidP="00DC1BB7">
      <w:pPr>
        <w:pStyle w:val="NormalWeb"/>
        <w:shd w:val="clear" w:color="auto" w:fill="FFFFFF"/>
        <w:jc w:val="both"/>
        <w:rPr>
          <w:rFonts w:ascii="Arial" w:hAnsi="Arial" w:cs="Arial"/>
          <w:color w:val="374151"/>
        </w:rPr>
      </w:pPr>
      <w:r w:rsidRPr="00DC1BB7">
        <w:rPr>
          <w:rFonts w:ascii="Arial" w:hAnsi="Arial" w:cs="Arial"/>
          <w:noProof/>
        </w:rPr>
        <w:drawing>
          <wp:inline distT="0" distB="0" distL="0" distR="0" wp14:anchorId="5DF8F28D" wp14:editId="0CAE3078">
            <wp:extent cx="5731510" cy="3075940"/>
            <wp:effectExtent l="0" t="0" r="2540" b="0"/>
            <wp:docPr id="836913370" name="Picture 5" descr="Long and Short Futures Payoff Structure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ng and Short Futures Payoff Structures. | Download Scientific Diagram"/>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1510" cy="3075940"/>
                    </a:xfrm>
                    <a:prstGeom prst="rect">
                      <a:avLst/>
                    </a:prstGeom>
                    <a:noFill/>
                    <a:ln>
                      <a:noFill/>
                    </a:ln>
                  </pic:spPr>
                </pic:pic>
              </a:graphicData>
            </a:graphic>
          </wp:inline>
        </w:drawing>
      </w:r>
    </w:p>
    <w:p w14:paraId="10347DA4" w14:textId="77777777" w:rsidR="00922850" w:rsidRPr="00DC1BB7" w:rsidRDefault="00922850" w:rsidP="00DC1BB7">
      <w:pPr>
        <w:pStyle w:val="NormalWeb"/>
        <w:shd w:val="clear" w:color="auto" w:fill="FFFFFF"/>
        <w:jc w:val="both"/>
        <w:rPr>
          <w:rFonts w:ascii="Arial" w:hAnsi="Arial" w:cs="Arial"/>
          <w:color w:val="374151"/>
        </w:rPr>
      </w:pPr>
    </w:p>
    <w:p w14:paraId="6D2493E6" w14:textId="09E5D7D9" w:rsidR="00C21C9C" w:rsidRPr="00DC1BB7" w:rsidRDefault="00BF47E8" w:rsidP="00DC1BB7">
      <w:pPr>
        <w:pStyle w:val="NormalWeb"/>
        <w:shd w:val="clear" w:color="auto" w:fill="FFFFFF"/>
        <w:jc w:val="both"/>
        <w:rPr>
          <w:rFonts w:ascii="Arial" w:hAnsi="Arial" w:cs="Arial"/>
          <w:color w:val="374151"/>
        </w:rPr>
      </w:pPr>
      <w:r w:rsidRPr="00DC1BB7">
        <w:rPr>
          <w:rFonts w:ascii="Arial" w:hAnsi="Arial" w:cs="Arial"/>
          <w:color w:val="374151"/>
        </w:rPr>
        <w:t>In the payoff diagrams the profit is taken on the Y Axis and the settlement price is taken on the X axis. The part above the X axis denotes profit and the part below the X axis denotes the loss.</w:t>
      </w:r>
    </w:p>
    <w:p w14:paraId="658A3338" w14:textId="46C18A5C" w:rsidR="00C21C9C" w:rsidRPr="00DC1BB7" w:rsidRDefault="00C916F3" w:rsidP="00DC1BB7">
      <w:pPr>
        <w:pStyle w:val="NormalWeb"/>
        <w:shd w:val="clear" w:color="auto" w:fill="FFFFFF"/>
        <w:ind w:left="1440" w:firstLine="720"/>
        <w:jc w:val="both"/>
        <w:rPr>
          <w:rFonts w:ascii="Arial" w:hAnsi="Arial" w:cs="Arial"/>
          <w:color w:val="374151"/>
        </w:rPr>
      </w:pPr>
      <w:r w:rsidRPr="00DC1BB7">
        <w:rPr>
          <w:rFonts w:ascii="Arial" w:hAnsi="Arial" w:cs="Arial"/>
          <w:color w:val="374151"/>
        </w:rPr>
        <w:t>Perfect</w:t>
      </w:r>
      <w:r w:rsidR="00C21C9C" w:rsidRPr="00DC1BB7">
        <w:rPr>
          <w:rFonts w:ascii="Arial" w:hAnsi="Arial" w:cs="Arial"/>
          <w:color w:val="374151"/>
        </w:rPr>
        <w:t xml:space="preserve"> and imperfect hedges</w:t>
      </w:r>
    </w:p>
    <w:p w14:paraId="28405C73" w14:textId="2D96FC8E" w:rsidR="00F7114D" w:rsidRPr="00DC1BB7" w:rsidRDefault="001847DC" w:rsidP="00DC1BB7">
      <w:pPr>
        <w:pStyle w:val="NormalWeb"/>
        <w:shd w:val="clear" w:color="auto" w:fill="FFFFFF"/>
        <w:jc w:val="both"/>
        <w:rPr>
          <w:rFonts w:ascii="Arial" w:hAnsi="Arial" w:cs="Arial"/>
          <w:color w:val="000000"/>
        </w:rPr>
      </w:pPr>
      <w:r w:rsidRPr="00DC1BB7">
        <w:rPr>
          <w:rFonts w:ascii="Arial" w:hAnsi="Arial" w:cs="Arial"/>
          <w:color w:val="374151"/>
        </w:rPr>
        <w:t xml:space="preserve">Perfect </w:t>
      </w:r>
      <w:proofErr w:type="gramStart"/>
      <w:r w:rsidRPr="00DC1BB7">
        <w:rPr>
          <w:rFonts w:ascii="Arial" w:hAnsi="Arial" w:cs="Arial"/>
          <w:color w:val="374151"/>
        </w:rPr>
        <w:t>hedge :</w:t>
      </w:r>
      <w:proofErr w:type="gramEnd"/>
      <w:r w:rsidRPr="00DC1BB7">
        <w:rPr>
          <w:rFonts w:ascii="Arial" w:hAnsi="Arial" w:cs="Arial"/>
          <w:color w:val="374151"/>
        </w:rPr>
        <w:t xml:space="preserve"> </w:t>
      </w:r>
      <w:r w:rsidRPr="00DC1BB7">
        <w:rPr>
          <w:rFonts w:ascii="Arial" w:hAnsi="Arial" w:cs="Arial"/>
          <w:color w:val="000000"/>
        </w:rPr>
        <w:t>Hedge includes taking two equal but opposite positions in the cash and futures market. In that case, gain and loss in one market is offset by loss and gain in the other market and the hedger’s risk exposure will be reduced or eliminated.</w:t>
      </w:r>
    </w:p>
    <w:p w14:paraId="3E7DA9A7" w14:textId="020029B5" w:rsidR="001847DC" w:rsidRPr="00DC1BB7" w:rsidRDefault="001847DC" w:rsidP="00DC1BB7">
      <w:pPr>
        <w:pStyle w:val="Heading4"/>
        <w:numPr>
          <w:ilvl w:val="0"/>
          <w:numId w:val="8"/>
        </w:numPr>
        <w:spacing w:before="225" w:after="150"/>
        <w:jc w:val="both"/>
        <w:textAlignment w:val="baseline"/>
        <w:rPr>
          <w:rFonts w:ascii="Arial" w:hAnsi="Arial" w:cs="Arial"/>
          <w:color w:val="444444"/>
          <w:sz w:val="24"/>
          <w:szCs w:val="24"/>
        </w:rPr>
      </w:pPr>
      <w:r w:rsidRPr="00DC1BB7">
        <w:rPr>
          <w:rFonts w:ascii="Arial" w:hAnsi="Arial" w:cs="Arial"/>
          <w:color w:val="444444"/>
          <w:sz w:val="24"/>
          <w:szCs w:val="24"/>
        </w:rPr>
        <w:t>Seller's hedge or short hedge</w:t>
      </w:r>
    </w:p>
    <w:p w14:paraId="6D91809E" w14:textId="77777777" w:rsidR="001847DC" w:rsidRPr="00DC1BB7" w:rsidRDefault="001847DC" w:rsidP="00DC1BB7">
      <w:pPr>
        <w:pStyle w:val="ListParagraph"/>
        <w:jc w:val="both"/>
        <w:rPr>
          <w:rFonts w:ascii="Arial" w:hAnsi="Arial" w:cs="Arial"/>
          <w:sz w:val="24"/>
          <w:szCs w:val="24"/>
        </w:rPr>
      </w:pPr>
    </w:p>
    <w:p w14:paraId="5F851417" w14:textId="6C2C7F6A" w:rsidR="001847DC" w:rsidRPr="00DC1BB7" w:rsidRDefault="001847DC"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1: </w:t>
      </w:r>
      <w:r w:rsidRPr="00DC1BB7">
        <w:rPr>
          <w:rFonts w:ascii="Arial" w:eastAsia="Times New Roman" w:hAnsi="Arial" w:cs="Arial"/>
          <w:color w:val="000000"/>
          <w:kern w:val="0"/>
          <w:sz w:val="24"/>
          <w:szCs w:val="24"/>
          <w:lang w:eastAsia="en-IN"/>
          <w14:ligatures w14:val="none"/>
        </w:rPr>
        <w:t>Assume the price has gone down. 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59.3/</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in that case (assuming perfect hedge)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60.30/bbl.</w:t>
      </w:r>
    </w:p>
    <w:tbl>
      <w:tblPr>
        <w:tblW w:w="9864"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A summary of this table's information"/>
      </w:tblPr>
      <w:tblGrid>
        <w:gridCol w:w="1639"/>
        <w:gridCol w:w="2477"/>
        <w:gridCol w:w="3449"/>
        <w:gridCol w:w="2299"/>
      </w:tblGrid>
      <w:tr w:rsidR="001847DC" w:rsidRPr="00DC1BB7" w14:paraId="0629C41C" w14:textId="77777777" w:rsidTr="001847DC">
        <w:trPr>
          <w:trHeight w:val="521"/>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0F608DBA" w14:textId="77777777" w:rsidR="001847DC" w:rsidRPr="00DC1BB7" w:rsidRDefault="001847DC"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lastRenderedPageBreak/>
              <w:t>Example 1</w:t>
            </w:r>
          </w:p>
        </w:tc>
      </w:tr>
      <w:tr w:rsidR="001847DC" w:rsidRPr="00DC1BB7" w14:paraId="05B6F81C" w14:textId="77777777" w:rsidTr="001847DC">
        <w:trPr>
          <w:trHeight w:val="291"/>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0B5507BE"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5816C5E2"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7CB26257"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62738B61"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847DC" w:rsidRPr="00DC1BB7" w14:paraId="58BAC803" w14:textId="77777777" w:rsidTr="001847DC">
        <w:trPr>
          <w:trHeight w:val="1151"/>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575904EA"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0D1E6E6F" w14:textId="446F90B2"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637F619A" w14:textId="60C08A98"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8D04383" w14:textId="77777777"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847DC" w:rsidRPr="00DC1BB7" w14:paraId="5A1738D8" w14:textId="77777777" w:rsidTr="001847DC">
        <w:trPr>
          <w:trHeight w:val="1734"/>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1098099D"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3B57C71" w14:textId="5783C974"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59.30/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(59.30-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5473BB90" w14:textId="51EB9FB1"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(61-60.</w:t>
            </w:r>
            <w:proofErr w:type="gramStart"/>
            <w:r w:rsidRPr="00DC1BB7">
              <w:rPr>
                <w:rFonts w:ascii="Arial" w:eastAsia="Times New Roman" w:hAnsi="Arial" w:cs="Arial"/>
                <w:color w:val="000000"/>
                <w:kern w:val="0"/>
                <w:sz w:val="24"/>
                <w:szCs w:val="24"/>
                <w:lang w:eastAsia="en-IN"/>
                <w14:ligatures w14:val="none"/>
              </w:rPr>
              <w:t>30)*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6EF6C36" w14:textId="01E2191D"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 xml:space="preserve">350,000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350,000 = 0</w:t>
            </w:r>
          </w:p>
        </w:tc>
      </w:tr>
    </w:tbl>
    <w:p w14:paraId="47EC9F98" w14:textId="77777777" w:rsidR="001847DC" w:rsidRPr="00DC1BB7" w:rsidRDefault="001847DC" w:rsidP="00DC1BB7">
      <w:pPr>
        <w:spacing w:after="0" w:line="300" w:lineRule="atLeast"/>
        <w:jc w:val="both"/>
        <w:textAlignment w:val="baseline"/>
        <w:rPr>
          <w:rFonts w:ascii="Arial" w:eastAsia="Times New Roman" w:hAnsi="Arial" w:cs="Arial"/>
          <w:color w:val="000000"/>
          <w:kern w:val="0"/>
          <w:sz w:val="24"/>
          <w:szCs w:val="24"/>
          <w:bdr w:val="none" w:sz="0" w:space="0" w:color="auto" w:frame="1"/>
          <w:lang w:eastAsia="en-IN"/>
          <w14:ligatures w14:val="none"/>
        </w:rPr>
      </w:pPr>
      <w:r w:rsidRPr="00DC1BB7">
        <w:rPr>
          <w:rFonts w:ascii="Arial" w:eastAsia="Times New Roman" w:hAnsi="Arial" w:cs="Arial"/>
          <w:color w:val="000000"/>
          <w:kern w:val="0"/>
          <w:sz w:val="24"/>
          <w:szCs w:val="24"/>
          <w:bdr w:val="none" w:sz="0" w:space="0" w:color="auto" w:frame="1"/>
          <w:lang w:eastAsia="en-IN"/>
          <w14:ligatures w14:val="none"/>
        </w:rPr>
        <w:t>In this case, the loss in the spot market is offset by the profit in the financial market.</w:t>
      </w:r>
    </w:p>
    <w:p w14:paraId="0E4D59C9" w14:textId="77777777" w:rsidR="001847DC" w:rsidRPr="00DC1BB7" w:rsidRDefault="001847DC"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p>
    <w:p w14:paraId="5BB35DFD" w14:textId="489FEF5A" w:rsidR="001847DC" w:rsidRPr="00DC1BB7" w:rsidRDefault="001847DC"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2: </w:t>
      </w:r>
      <w:r w:rsidRPr="00DC1BB7">
        <w:rPr>
          <w:rFonts w:ascii="Arial" w:eastAsia="Times New Roman" w:hAnsi="Arial" w:cs="Arial"/>
          <w:color w:val="000000"/>
          <w:kern w:val="0"/>
          <w:sz w:val="24"/>
          <w:szCs w:val="24"/>
          <w:lang w:eastAsia="en-IN"/>
          <w14:ligatures w14:val="none"/>
        </w:rPr>
        <w:t>Assume the price increased and on November 1st the cash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60.50/bbl. In that case (assuming perfect hedge)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61.50/bbl.</w:t>
      </w:r>
    </w:p>
    <w:tbl>
      <w:tblPr>
        <w:tblW w:w="9816"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A summary of this table's information"/>
      </w:tblPr>
      <w:tblGrid>
        <w:gridCol w:w="1626"/>
        <w:gridCol w:w="2458"/>
        <w:gridCol w:w="3364"/>
        <w:gridCol w:w="2368"/>
      </w:tblGrid>
      <w:tr w:rsidR="001847DC" w:rsidRPr="00DC1BB7" w14:paraId="5476AE82" w14:textId="77777777" w:rsidTr="001847DC">
        <w:trPr>
          <w:trHeight w:val="521"/>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0B298F9A" w14:textId="77777777" w:rsidR="001847DC" w:rsidRPr="00DC1BB7" w:rsidRDefault="001847DC"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2</w:t>
            </w:r>
          </w:p>
        </w:tc>
      </w:tr>
      <w:tr w:rsidR="001847DC" w:rsidRPr="00DC1BB7" w14:paraId="6A124CDD" w14:textId="77777777" w:rsidTr="001847DC">
        <w:trPr>
          <w:trHeight w:val="291"/>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68118778"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0386E30F"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68C16F78"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5FDE3133"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847DC" w:rsidRPr="00DC1BB7" w14:paraId="3F85FD3B" w14:textId="77777777" w:rsidTr="001847DC">
        <w:trPr>
          <w:trHeight w:val="1151"/>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5B1BA43C"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E78657E" w14:textId="47457563"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7BDA687D" w14:textId="1AD00179"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04E77BD3" w14:textId="77777777"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847DC" w:rsidRPr="00DC1BB7" w14:paraId="05E7A56D" w14:textId="77777777" w:rsidTr="001847DC">
        <w:trPr>
          <w:trHeight w:val="1734"/>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1250A763"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B324A78" w14:textId="24D42543"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(60.50-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35FBEB4" w14:textId="60FB2B6F"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(61-61.</w:t>
            </w:r>
            <w:proofErr w:type="gramStart"/>
            <w:r w:rsidRPr="00DC1BB7">
              <w:rPr>
                <w:rFonts w:ascii="Arial" w:eastAsia="Times New Roman" w:hAnsi="Arial" w:cs="Arial"/>
                <w:color w:val="000000"/>
                <w:kern w:val="0"/>
                <w:sz w:val="24"/>
                <w:szCs w:val="24"/>
                <w:lang w:eastAsia="en-IN"/>
                <w14:ligatures w14:val="none"/>
              </w:rPr>
              <w:t>50)*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5B23C273" w14:textId="7B6F6D64" w:rsidR="001847DC"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1847DC" w:rsidRPr="00DC1BB7">
              <w:rPr>
                <w:rFonts w:ascii="Arial" w:eastAsia="Times New Roman" w:hAnsi="Arial" w:cs="Arial"/>
                <w:color w:val="000000"/>
                <w:kern w:val="0"/>
                <w:sz w:val="24"/>
                <w:szCs w:val="24"/>
                <w:lang w:eastAsia="en-IN"/>
                <w14:ligatures w14:val="none"/>
              </w:rPr>
              <w:t>250,000 + (-</w:t>
            </w:r>
            <w:r w:rsidRPr="00DC1BB7">
              <w:rPr>
                <w:rFonts w:ascii="Arial" w:eastAsia="Times New Roman" w:hAnsi="Arial" w:cs="Arial"/>
                <w:color w:val="000000"/>
                <w:kern w:val="0"/>
                <w:sz w:val="24"/>
                <w:szCs w:val="24"/>
                <w:lang w:eastAsia="en-IN"/>
                <w14:ligatures w14:val="none"/>
              </w:rPr>
              <w:t>₹</w:t>
            </w:r>
            <w:r w:rsidR="001847DC" w:rsidRPr="00DC1BB7">
              <w:rPr>
                <w:rFonts w:ascii="Arial" w:eastAsia="Times New Roman" w:hAnsi="Arial" w:cs="Arial"/>
                <w:color w:val="000000"/>
                <w:kern w:val="0"/>
                <w:sz w:val="24"/>
                <w:szCs w:val="24"/>
                <w:lang w:eastAsia="en-IN"/>
                <w14:ligatures w14:val="none"/>
              </w:rPr>
              <w:t>250,000) = 0</w:t>
            </w:r>
          </w:p>
        </w:tc>
      </w:tr>
    </w:tbl>
    <w:p w14:paraId="73036966" w14:textId="77777777" w:rsidR="001847DC" w:rsidRPr="00DC1BB7" w:rsidRDefault="001847DC" w:rsidP="00DC1BB7">
      <w:pPr>
        <w:pStyle w:val="Heading4"/>
        <w:spacing w:before="0" w:after="150"/>
        <w:jc w:val="both"/>
        <w:textAlignment w:val="baseline"/>
        <w:rPr>
          <w:rFonts w:ascii="Arial" w:hAnsi="Arial" w:cs="Arial"/>
          <w:b/>
          <w:bCs/>
          <w:color w:val="444444"/>
          <w:sz w:val="24"/>
          <w:szCs w:val="24"/>
        </w:rPr>
      </w:pPr>
    </w:p>
    <w:p w14:paraId="7118686E" w14:textId="26864689" w:rsidR="001847DC" w:rsidRPr="00DC1BB7" w:rsidRDefault="001847DC" w:rsidP="00DC1BB7">
      <w:pPr>
        <w:pStyle w:val="Heading4"/>
        <w:numPr>
          <w:ilvl w:val="0"/>
          <w:numId w:val="8"/>
        </w:numPr>
        <w:spacing w:before="0" w:after="150"/>
        <w:jc w:val="both"/>
        <w:textAlignment w:val="baseline"/>
        <w:rPr>
          <w:rFonts w:ascii="Arial" w:hAnsi="Arial" w:cs="Arial"/>
          <w:color w:val="444444"/>
          <w:sz w:val="24"/>
          <w:szCs w:val="24"/>
        </w:rPr>
      </w:pPr>
      <w:r w:rsidRPr="00DC1BB7">
        <w:rPr>
          <w:rFonts w:ascii="Arial" w:hAnsi="Arial" w:cs="Arial"/>
          <w:color w:val="444444"/>
          <w:sz w:val="24"/>
          <w:szCs w:val="24"/>
        </w:rPr>
        <w:t>Buyer's hedge or long hedge </w:t>
      </w:r>
    </w:p>
    <w:p w14:paraId="54767B49" w14:textId="7BFF5CDF" w:rsidR="001847DC" w:rsidRPr="00DC1BB7" w:rsidRDefault="001847DC" w:rsidP="00DC1BB7">
      <w:pPr>
        <w:pStyle w:val="ListParagraph"/>
        <w:numPr>
          <w:ilvl w:val="0"/>
          <w:numId w:val="8"/>
        </w:num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3: </w:t>
      </w:r>
      <w:r w:rsidRPr="00DC1BB7">
        <w:rPr>
          <w:rFonts w:ascii="Arial" w:eastAsia="Times New Roman" w:hAnsi="Arial" w:cs="Arial"/>
          <w:color w:val="000000"/>
          <w:kern w:val="0"/>
          <w:sz w:val="24"/>
          <w:szCs w:val="24"/>
          <w:lang w:eastAsia="en-IN"/>
          <w14:ligatures w14:val="none"/>
        </w:rPr>
        <w:t>Assume 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59.3/</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in that case (assuming perfect hedge)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60.30/bbl.</w:t>
      </w:r>
    </w:p>
    <w:tbl>
      <w:tblPr>
        <w:tblW w:w="9432"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A summary of this table's information"/>
      </w:tblPr>
      <w:tblGrid>
        <w:gridCol w:w="1604"/>
        <w:gridCol w:w="2521"/>
        <w:gridCol w:w="3037"/>
        <w:gridCol w:w="2270"/>
      </w:tblGrid>
      <w:tr w:rsidR="001847DC" w:rsidRPr="00DC1BB7" w14:paraId="08B8F9CC" w14:textId="77777777" w:rsidTr="001847DC">
        <w:trPr>
          <w:trHeight w:val="513"/>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606473BD" w14:textId="77777777" w:rsidR="001847DC" w:rsidRPr="00DC1BB7" w:rsidRDefault="001847DC"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lastRenderedPageBreak/>
              <w:t>Example 3</w:t>
            </w:r>
          </w:p>
        </w:tc>
      </w:tr>
      <w:tr w:rsidR="001847DC" w:rsidRPr="00DC1BB7" w14:paraId="05F556A6" w14:textId="77777777" w:rsidTr="001847DC">
        <w:trPr>
          <w:trHeight w:val="286"/>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3B53BC4F"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166BFB31"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47904E22"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06124533"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847DC" w:rsidRPr="00DC1BB7" w14:paraId="707ADEDA" w14:textId="77777777" w:rsidTr="001847DC">
        <w:trPr>
          <w:trHeight w:val="1134"/>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3009DCB9"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05656473" w14:textId="6408B8B1"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1DCB4EF2" w14:textId="17BFFBAB"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Refinery buys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1BA0521D" w14:textId="77777777"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847DC" w:rsidRPr="00DC1BB7" w14:paraId="4C6B20BE" w14:textId="77777777" w:rsidTr="001847DC">
        <w:trPr>
          <w:trHeight w:val="1706"/>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34C43381"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65F89B53" w14:textId="10059A61"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59.30/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(60-59.</w:t>
            </w:r>
            <w:proofErr w:type="gramStart"/>
            <w:r w:rsidRPr="00DC1BB7">
              <w:rPr>
                <w:rFonts w:ascii="Arial" w:eastAsia="Times New Roman" w:hAnsi="Arial" w:cs="Arial"/>
                <w:color w:val="000000"/>
                <w:kern w:val="0"/>
                <w:sz w:val="24"/>
                <w:szCs w:val="24"/>
                <w:lang w:eastAsia="en-IN"/>
                <w14:ligatures w14:val="none"/>
              </w:rPr>
              <w:t>30)*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0D6BB997" w14:textId="74599E0A"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Refinery sells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(60.30-</w:t>
            </w:r>
            <w:proofErr w:type="gramStart"/>
            <w:r w:rsidRPr="00DC1BB7">
              <w:rPr>
                <w:rFonts w:ascii="Arial" w:eastAsia="Times New Roman" w:hAnsi="Arial" w:cs="Arial"/>
                <w:color w:val="000000"/>
                <w:kern w:val="0"/>
                <w:sz w:val="24"/>
                <w:szCs w:val="24"/>
                <w:lang w:eastAsia="en-IN"/>
                <w14:ligatures w14:val="none"/>
              </w:rPr>
              <w:t>61)*</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8BB81AF" w14:textId="26A0460A" w:rsidR="001847DC"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1847DC" w:rsidRPr="00DC1BB7">
              <w:rPr>
                <w:rFonts w:ascii="Arial" w:eastAsia="Times New Roman" w:hAnsi="Arial" w:cs="Arial"/>
                <w:color w:val="000000"/>
                <w:kern w:val="0"/>
                <w:sz w:val="24"/>
                <w:szCs w:val="24"/>
                <w:lang w:eastAsia="en-IN"/>
                <w14:ligatures w14:val="none"/>
              </w:rPr>
              <w:t>350,000 + (-</w:t>
            </w:r>
            <w:r w:rsidRPr="00DC1BB7">
              <w:rPr>
                <w:rFonts w:ascii="Arial" w:eastAsia="Times New Roman" w:hAnsi="Arial" w:cs="Arial"/>
                <w:color w:val="000000"/>
                <w:kern w:val="0"/>
                <w:sz w:val="24"/>
                <w:szCs w:val="24"/>
                <w:lang w:eastAsia="en-IN"/>
                <w14:ligatures w14:val="none"/>
              </w:rPr>
              <w:t>₹</w:t>
            </w:r>
            <w:r w:rsidR="001847DC" w:rsidRPr="00DC1BB7">
              <w:rPr>
                <w:rFonts w:ascii="Arial" w:eastAsia="Times New Roman" w:hAnsi="Arial" w:cs="Arial"/>
                <w:color w:val="000000"/>
                <w:kern w:val="0"/>
                <w:sz w:val="24"/>
                <w:szCs w:val="24"/>
                <w:lang w:eastAsia="en-IN"/>
                <w14:ligatures w14:val="none"/>
              </w:rPr>
              <w:t>350,000) = 0</w:t>
            </w:r>
          </w:p>
        </w:tc>
      </w:tr>
    </w:tbl>
    <w:p w14:paraId="44D3F0C4" w14:textId="77777777" w:rsidR="001847DC" w:rsidRPr="00DC1BB7" w:rsidRDefault="001847DC" w:rsidP="00DC1BB7">
      <w:pPr>
        <w:pStyle w:val="ListParagraph"/>
        <w:numPr>
          <w:ilvl w:val="0"/>
          <w:numId w:val="8"/>
        </w:num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bdr w:val="none" w:sz="0" w:space="0" w:color="auto" w:frame="1"/>
          <w:lang w:eastAsia="en-IN"/>
          <w14:ligatures w14:val="none"/>
        </w:rPr>
        <w:t>The profit in the spot market is offset by the loss in the financial market.</w:t>
      </w:r>
    </w:p>
    <w:p w14:paraId="3D3A0539" w14:textId="77777777" w:rsidR="001847DC" w:rsidRPr="00DC1BB7" w:rsidRDefault="001847DC" w:rsidP="00DC1BB7">
      <w:pPr>
        <w:pStyle w:val="ListParagraph"/>
        <w:spacing w:after="0" w:line="300" w:lineRule="atLeast"/>
        <w:jc w:val="both"/>
        <w:textAlignment w:val="baseline"/>
        <w:rPr>
          <w:rFonts w:ascii="Arial" w:eastAsia="Times New Roman" w:hAnsi="Arial" w:cs="Arial"/>
          <w:color w:val="000000"/>
          <w:kern w:val="0"/>
          <w:sz w:val="24"/>
          <w:szCs w:val="24"/>
          <w:lang w:eastAsia="en-IN"/>
          <w14:ligatures w14:val="none"/>
        </w:rPr>
      </w:pPr>
    </w:p>
    <w:p w14:paraId="11C85D95" w14:textId="692614F1" w:rsidR="001847DC" w:rsidRPr="00DC1BB7" w:rsidRDefault="001847DC" w:rsidP="00DC1BB7">
      <w:pPr>
        <w:pStyle w:val="ListParagraph"/>
        <w:numPr>
          <w:ilvl w:val="0"/>
          <w:numId w:val="8"/>
        </w:num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4: </w:t>
      </w:r>
      <w:r w:rsidRPr="00DC1BB7">
        <w:rPr>
          <w:rFonts w:ascii="Arial" w:eastAsia="Times New Roman" w:hAnsi="Arial" w:cs="Arial"/>
          <w:color w:val="000000"/>
          <w:kern w:val="0"/>
          <w:sz w:val="24"/>
          <w:szCs w:val="24"/>
          <w:lang w:eastAsia="en-IN"/>
          <w14:ligatures w14:val="none"/>
        </w:rPr>
        <w:t>Assume prices increased and on November 1st the cash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in that case (assuming perfect hedge)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61.50/bbl.</w:t>
      </w:r>
    </w:p>
    <w:tbl>
      <w:tblPr>
        <w:tblW w:w="9528"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A summary of this table's information"/>
      </w:tblPr>
      <w:tblGrid>
        <w:gridCol w:w="1798"/>
        <w:gridCol w:w="2527"/>
        <w:gridCol w:w="3048"/>
        <w:gridCol w:w="2155"/>
      </w:tblGrid>
      <w:tr w:rsidR="001847DC" w:rsidRPr="00DC1BB7" w14:paraId="6FDBDC3D" w14:textId="77777777" w:rsidTr="001847DC">
        <w:trPr>
          <w:trHeight w:val="499"/>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4EBAD074" w14:textId="77777777" w:rsidR="001847DC" w:rsidRPr="00DC1BB7" w:rsidRDefault="001847DC"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4</w:t>
            </w:r>
          </w:p>
        </w:tc>
      </w:tr>
      <w:tr w:rsidR="001847DC" w:rsidRPr="00DC1BB7" w14:paraId="173EE718" w14:textId="77777777" w:rsidTr="001847DC">
        <w:trPr>
          <w:trHeight w:val="278"/>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609CF1CA"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7FF4C64B"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6C682B5F"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7354CCBA" w14:textId="77777777" w:rsidR="001847DC" w:rsidRPr="00DC1BB7" w:rsidRDefault="001847DC"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847DC" w:rsidRPr="00DC1BB7" w14:paraId="02852881" w14:textId="77777777" w:rsidTr="001847DC">
        <w:trPr>
          <w:trHeight w:val="1104"/>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6334505E"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68FC1F61" w14:textId="5DC25D3E"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B4CC865" w14:textId="3AEFD863"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Refinery buys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3BB0A3B5" w14:textId="77777777"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847DC" w:rsidRPr="00DC1BB7" w14:paraId="54F65443" w14:textId="77777777" w:rsidTr="001847DC">
        <w:trPr>
          <w:trHeight w:val="1661"/>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496F96DC" w14:textId="77777777" w:rsidR="001847DC" w:rsidRPr="00DC1BB7" w:rsidRDefault="001847DC"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58FB4007" w14:textId="72B52E9A"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(60-60.</w:t>
            </w:r>
            <w:proofErr w:type="gramStart"/>
            <w:r w:rsidRPr="00DC1BB7">
              <w:rPr>
                <w:rFonts w:ascii="Arial" w:eastAsia="Times New Roman" w:hAnsi="Arial" w:cs="Arial"/>
                <w:color w:val="000000"/>
                <w:kern w:val="0"/>
                <w:sz w:val="24"/>
                <w:szCs w:val="24"/>
                <w:lang w:eastAsia="en-IN"/>
                <w14:ligatures w14:val="none"/>
              </w:rPr>
              <w:t>50)*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9D42FAC" w14:textId="6F46A495"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Refinery sells 500 December contracts</w:t>
            </w:r>
            <w:r w:rsidRPr="00DC1BB7">
              <w:rPr>
                <w:rFonts w:ascii="Arial" w:eastAsia="Times New Roman" w:hAnsi="Arial" w:cs="Arial"/>
                <w:color w:val="000000"/>
                <w:kern w:val="0"/>
                <w:sz w:val="24"/>
                <w:szCs w:val="24"/>
                <w:lang w:eastAsia="en-IN"/>
                <w14:ligatures w14:val="none"/>
              </w:rPr>
              <w:br/>
              <w:t>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(61.50-</w:t>
            </w:r>
            <w:proofErr w:type="gramStart"/>
            <w:r w:rsidRPr="00DC1BB7">
              <w:rPr>
                <w:rFonts w:ascii="Arial" w:eastAsia="Times New Roman" w:hAnsi="Arial" w:cs="Arial"/>
                <w:color w:val="000000"/>
                <w:kern w:val="0"/>
                <w:sz w:val="24"/>
                <w:szCs w:val="24"/>
                <w:lang w:eastAsia="en-IN"/>
                <w14:ligatures w14:val="none"/>
              </w:rPr>
              <w:t>61)*</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C35BF3D" w14:textId="6A35C739" w:rsidR="001847DC" w:rsidRPr="00DC1BB7" w:rsidRDefault="001847DC"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 xml:space="preserve">250,000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 = 0</w:t>
            </w:r>
          </w:p>
        </w:tc>
      </w:tr>
    </w:tbl>
    <w:p w14:paraId="5031EE0D" w14:textId="77777777" w:rsidR="001847DC" w:rsidRPr="00DC1BB7" w:rsidRDefault="001847DC" w:rsidP="00DC1BB7">
      <w:pPr>
        <w:pStyle w:val="ListParagraph"/>
        <w:jc w:val="both"/>
        <w:rPr>
          <w:rFonts w:ascii="Arial" w:hAnsi="Arial" w:cs="Arial"/>
          <w:sz w:val="24"/>
          <w:szCs w:val="24"/>
        </w:rPr>
      </w:pPr>
    </w:p>
    <w:p w14:paraId="4C2F0DDD" w14:textId="4E71FA65" w:rsidR="001847DC" w:rsidRPr="00DC1BB7" w:rsidRDefault="001847DC" w:rsidP="00DC1BB7">
      <w:pPr>
        <w:pStyle w:val="ListParagraph"/>
        <w:ind w:left="0"/>
        <w:jc w:val="both"/>
        <w:rPr>
          <w:rFonts w:ascii="Arial" w:hAnsi="Arial" w:cs="Arial"/>
          <w:b/>
          <w:bCs/>
          <w:sz w:val="24"/>
          <w:szCs w:val="24"/>
        </w:rPr>
      </w:pPr>
      <w:r w:rsidRPr="00DC1BB7">
        <w:rPr>
          <w:rFonts w:ascii="Arial" w:hAnsi="Arial" w:cs="Arial"/>
          <w:b/>
          <w:bCs/>
          <w:sz w:val="24"/>
          <w:szCs w:val="24"/>
        </w:rPr>
        <w:t>Imperfect hedge</w:t>
      </w:r>
    </w:p>
    <w:p w14:paraId="2269B449" w14:textId="34B7F580" w:rsidR="001847DC" w:rsidRPr="00DC1BB7" w:rsidRDefault="001847DC" w:rsidP="00DC1BB7">
      <w:pPr>
        <w:pStyle w:val="ListParagraph"/>
        <w:ind w:left="0"/>
        <w:jc w:val="both"/>
        <w:rPr>
          <w:rFonts w:ascii="Arial" w:hAnsi="Arial" w:cs="Arial"/>
          <w:color w:val="000000"/>
          <w:sz w:val="24"/>
          <w:szCs w:val="24"/>
        </w:rPr>
      </w:pPr>
      <w:r w:rsidRPr="00DC1BB7">
        <w:rPr>
          <w:rFonts w:ascii="Arial" w:hAnsi="Arial" w:cs="Arial"/>
          <w:color w:val="000000"/>
          <w:sz w:val="24"/>
          <w:szCs w:val="24"/>
        </w:rPr>
        <w:t xml:space="preserve">Perfect hedge can remove the price risks for sellers and buyers in the spot market. In the perfect hedge, we assume spot and financial market move exactly in tandem and prices in both markets are perfectly correlated, which means the case basis (the difference between spot and futures prices) stays unchanged. However, this assumption is not very realistic. Spot and futures market prices are highly correlated (parallelism) but the correlation is not usually perfect and basis changes over time. In that case, hedging is still effective, but it </w:t>
      </w:r>
      <w:proofErr w:type="gramStart"/>
      <w:r w:rsidRPr="00DC1BB7">
        <w:rPr>
          <w:rFonts w:ascii="Arial" w:hAnsi="Arial" w:cs="Arial"/>
          <w:color w:val="000000"/>
          <w:sz w:val="24"/>
          <w:szCs w:val="24"/>
        </w:rPr>
        <w:t>doesn’t</w:t>
      </w:r>
      <w:proofErr w:type="gramEnd"/>
      <w:r w:rsidRPr="00DC1BB7">
        <w:rPr>
          <w:rFonts w:ascii="Arial" w:hAnsi="Arial" w:cs="Arial"/>
          <w:color w:val="000000"/>
          <w:sz w:val="24"/>
          <w:szCs w:val="24"/>
        </w:rPr>
        <w:t xml:space="preserve"> eliminate the price risk. The hedger’s gain and loss in the spot and futures market are not fully offset, and the hedger will end up with some gain or loss. This is called imperfect hedge. </w:t>
      </w:r>
    </w:p>
    <w:p w14:paraId="440D740F" w14:textId="77777777" w:rsidR="001847DC" w:rsidRPr="00DC1BB7" w:rsidRDefault="001847DC" w:rsidP="00DC1BB7">
      <w:pPr>
        <w:pStyle w:val="ListParagraph"/>
        <w:jc w:val="both"/>
        <w:rPr>
          <w:rFonts w:ascii="Arial" w:hAnsi="Arial" w:cs="Arial"/>
          <w:color w:val="000000"/>
          <w:sz w:val="24"/>
          <w:szCs w:val="24"/>
        </w:rPr>
      </w:pPr>
    </w:p>
    <w:p w14:paraId="58C99C99" w14:textId="79492E86" w:rsidR="001847DC" w:rsidRPr="00DC1BB7" w:rsidRDefault="001847DC" w:rsidP="00DC1BB7">
      <w:pPr>
        <w:pStyle w:val="Heading3"/>
        <w:numPr>
          <w:ilvl w:val="0"/>
          <w:numId w:val="9"/>
        </w:numPr>
        <w:spacing w:before="0" w:after="75"/>
        <w:jc w:val="both"/>
        <w:textAlignment w:val="baseline"/>
        <w:rPr>
          <w:rFonts w:ascii="Arial" w:hAnsi="Arial" w:cs="Arial"/>
          <w:color w:val="444444"/>
        </w:rPr>
      </w:pPr>
      <w:r w:rsidRPr="00DC1BB7">
        <w:rPr>
          <w:rFonts w:ascii="Arial" w:hAnsi="Arial" w:cs="Arial"/>
          <w:color w:val="444444"/>
        </w:rPr>
        <w:t>Seller's hedge or short hedge</w:t>
      </w:r>
    </w:p>
    <w:p w14:paraId="6F095139" w14:textId="04B82ED9" w:rsidR="00163BE3" w:rsidRPr="00DC1BB7" w:rsidRDefault="00163BE3" w:rsidP="00DC1BB7">
      <w:pPr>
        <w:spacing w:after="30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Assuming the price has gone down between the time of selling the futures contract and November 1st and the basis has changed a bit (imperfect hedge). </w:t>
      </w:r>
      <w:proofErr w:type="gramStart"/>
      <w:r w:rsidRPr="00DC1BB7">
        <w:rPr>
          <w:rFonts w:ascii="Arial" w:eastAsia="Times New Roman" w:hAnsi="Arial" w:cs="Arial"/>
          <w:color w:val="000000"/>
          <w:kern w:val="0"/>
          <w:sz w:val="24"/>
          <w:szCs w:val="24"/>
          <w:lang w:eastAsia="en-IN"/>
          <w14:ligatures w14:val="none"/>
        </w:rPr>
        <w:t>Let's</w:t>
      </w:r>
      <w:proofErr w:type="gramEnd"/>
      <w:r w:rsidRPr="00DC1BB7">
        <w:rPr>
          <w:rFonts w:ascii="Arial" w:eastAsia="Times New Roman" w:hAnsi="Arial" w:cs="Arial"/>
          <w:color w:val="000000"/>
          <w:kern w:val="0"/>
          <w:sz w:val="24"/>
          <w:szCs w:val="24"/>
          <w:lang w:eastAsia="en-IN"/>
          <w14:ligatures w14:val="none"/>
        </w:rPr>
        <w:t xml:space="preserve"> explore two cases:</w:t>
      </w:r>
    </w:p>
    <w:p w14:paraId="537DEB52" w14:textId="0D8A35EE" w:rsidR="00163BE3" w:rsidRPr="00DC1BB7" w:rsidRDefault="00163BE3" w:rsidP="00DC1BB7">
      <w:pPr>
        <w:numPr>
          <w:ilvl w:val="0"/>
          <w:numId w:val="10"/>
        </w:numPr>
        <w:spacing w:after="75" w:line="300" w:lineRule="atLeast"/>
        <w:ind w:left="1095"/>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60.60/bbl.</w:t>
      </w:r>
    </w:p>
    <w:p w14:paraId="20B98D1F" w14:textId="14615641" w:rsidR="00163BE3" w:rsidRPr="00DC1BB7" w:rsidRDefault="00163BE3" w:rsidP="00DC1BB7">
      <w:pPr>
        <w:numPr>
          <w:ilvl w:val="0"/>
          <w:numId w:val="10"/>
        </w:numPr>
        <w:spacing w:after="75" w:line="300" w:lineRule="atLeast"/>
        <w:ind w:left="1095"/>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60.40/bbl.</w:t>
      </w:r>
    </w:p>
    <w:p w14:paraId="3AE29ACA" w14:textId="77777777" w:rsidR="00163BE3" w:rsidRPr="00DC1BB7" w:rsidRDefault="00163BE3" w:rsidP="00DC1BB7">
      <w:pPr>
        <w:jc w:val="both"/>
        <w:rPr>
          <w:rFonts w:ascii="Arial" w:hAnsi="Arial" w:cs="Arial"/>
          <w:sz w:val="24"/>
          <w:szCs w:val="24"/>
        </w:rPr>
      </w:pPr>
    </w:p>
    <w:p w14:paraId="166254B4" w14:textId="23DB8D3F" w:rsidR="008A3976" w:rsidRPr="00DC1BB7" w:rsidRDefault="008A3976" w:rsidP="00DC1BB7">
      <w:pPr>
        <w:spacing w:after="0" w:line="300" w:lineRule="atLeast"/>
        <w:ind w:left="360"/>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5</w:t>
      </w:r>
      <w:r w:rsidRPr="00DC1BB7">
        <w:rPr>
          <w:rFonts w:ascii="Arial" w:eastAsia="Times New Roman" w:hAnsi="Arial" w:cs="Arial"/>
          <w:color w:val="000000"/>
          <w:kern w:val="0"/>
          <w:sz w:val="24"/>
          <w:szCs w:val="24"/>
          <w:lang w:eastAsia="en-IN"/>
          <w14:ligatures w14:val="none"/>
        </w:rPr>
        <w:t xml:space="preserve">: 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60.60/bbl.</w:t>
      </w:r>
    </w:p>
    <w:tbl>
      <w:tblPr>
        <w:tblW w:w="8964"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A summary of this table"/>
      </w:tblPr>
      <w:tblGrid>
        <w:gridCol w:w="1561"/>
        <w:gridCol w:w="2180"/>
        <w:gridCol w:w="2963"/>
        <w:gridCol w:w="2260"/>
      </w:tblGrid>
      <w:tr w:rsidR="008A3976" w:rsidRPr="00DC1BB7" w14:paraId="35265180" w14:textId="77777777" w:rsidTr="00163BE3">
        <w:trPr>
          <w:trHeight w:val="496"/>
        </w:trPr>
        <w:tc>
          <w:tcPr>
            <w:tcW w:w="0" w:type="auto"/>
            <w:gridSpan w:val="4"/>
            <w:tcBorders>
              <w:top w:val="nil"/>
              <w:left w:val="nil"/>
              <w:bottom w:val="nil"/>
              <w:right w:val="nil"/>
            </w:tcBorders>
            <w:shd w:val="clear" w:color="auto" w:fill="CCCCCC"/>
            <w:tcMar>
              <w:top w:w="105" w:type="dxa"/>
              <w:left w:w="105" w:type="dxa"/>
              <w:bottom w:w="105" w:type="dxa"/>
              <w:right w:w="105" w:type="dxa"/>
            </w:tcMar>
            <w:vAlign w:val="center"/>
            <w:hideMark/>
          </w:tcPr>
          <w:p w14:paraId="55583CEE" w14:textId="77777777" w:rsidR="008A3976" w:rsidRPr="00DC1BB7" w:rsidRDefault="008A3976"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5</w:t>
            </w:r>
          </w:p>
        </w:tc>
      </w:tr>
      <w:tr w:rsidR="008A3976" w:rsidRPr="00DC1BB7" w14:paraId="5C8706CB" w14:textId="77777777" w:rsidTr="00163BE3">
        <w:trPr>
          <w:trHeight w:val="277"/>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1A116994"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Date</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90C1095"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Cash Market</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EE4F859"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1184E77"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Net</w:t>
            </w:r>
          </w:p>
        </w:tc>
      </w:tr>
      <w:tr w:rsidR="008A3976" w:rsidRPr="00DC1BB7" w14:paraId="3380E1AB" w14:textId="77777777" w:rsidTr="00163BE3">
        <w:trPr>
          <w:trHeight w:val="1098"/>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431C723D"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557557E" w14:textId="2E2EFC7E"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277999D" w14:textId="1ED68C51"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14D09E1"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p>
        </w:tc>
      </w:tr>
      <w:tr w:rsidR="008A3976" w:rsidRPr="00DC1BB7" w14:paraId="541BA553" w14:textId="77777777" w:rsidTr="00163BE3">
        <w:trPr>
          <w:trHeight w:val="1652"/>
        </w:trPr>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725E2A5F"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18C62C5" w14:textId="77227CBA"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(59.50-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1B5D48B" w14:textId="1BA82C74"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(61-60.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57A79C15" w14:textId="592D53E3"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 xml:space="preserve">250,000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 = -50,000</w:t>
            </w:r>
          </w:p>
        </w:tc>
      </w:tr>
    </w:tbl>
    <w:p w14:paraId="43A236DF" w14:textId="5A070E4A" w:rsidR="008A3976" w:rsidRPr="00DC1BB7" w:rsidRDefault="008A3976" w:rsidP="00DC1BB7">
      <w:pPr>
        <w:pStyle w:val="ListParagraph"/>
        <w:numPr>
          <w:ilvl w:val="0"/>
          <w:numId w:val="9"/>
        </w:num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6</w:t>
      </w:r>
      <w:r w:rsidRPr="00DC1BB7">
        <w:rPr>
          <w:rFonts w:ascii="Arial" w:eastAsia="Times New Roman" w:hAnsi="Arial" w:cs="Arial"/>
          <w:color w:val="000000"/>
          <w:kern w:val="0"/>
          <w:sz w:val="24"/>
          <w:szCs w:val="24"/>
          <w:lang w:eastAsia="en-IN"/>
          <w14:ligatures w14:val="none"/>
        </w:rPr>
        <w:t xml:space="preserve">: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w:t>
      </w:r>
    </w:p>
    <w:tbl>
      <w:tblPr>
        <w:tblW w:w="0"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November 1st the spot market prices are $59.6/bbl and the December futures contract would be $60.40/bbl"/>
      </w:tblPr>
      <w:tblGrid>
        <w:gridCol w:w="1564"/>
        <w:gridCol w:w="2188"/>
        <w:gridCol w:w="2977"/>
        <w:gridCol w:w="2297"/>
      </w:tblGrid>
      <w:tr w:rsidR="008A3976" w:rsidRPr="00DC1BB7" w14:paraId="7E23A450" w14:textId="77777777" w:rsidTr="008A3976">
        <w:trPr>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411FDB0F" w14:textId="77777777" w:rsidR="008A3976" w:rsidRPr="00DC1BB7" w:rsidRDefault="008A3976"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6</w:t>
            </w:r>
          </w:p>
        </w:tc>
      </w:tr>
      <w:tr w:rsidR="008A3976" w:rsidRPr="00DC1BB7" w14:paraId="06618FAD" w14:textId="77777777" w:rsidTr="008A3976">
        <w:trPr>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38639769"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5FB464D8"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268D9A2C"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21604C73"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8A3976" w:rsidRPr="00DC1BB7" w14:paraId="3EAFE788"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67D1A6A7"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70F34775" w14:textId="58888B4C"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00937D5" w14:textId="16E1CA82"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3CAFC89C"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p>
        </w:tc>
      </w:tr>
      <w:tr w:rsidR="008A3976" w:rsidRPr="00DC1BB7" w14:paraId="3B565F04"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7D522498"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EEE"/>
            <w:tcMar>
              <w:top w:w="105" w:type="dxa"/>
              <w:left w:w="105" w:type="dxa"/>
              <w:bottom w:w="105" w:type="dxa"/>
              <w:right w:w="105" w:type="dxa"/>
            </w:tcMar>
            <w:hideMark/>
          </w:tcPr>
          <w:p w14:paraId="5352D367" w14:textId="2D609E61"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(59.60-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w:t>
            </w:r>
          </w:p>
        </w:tc>
        <w:tc>
          <w:tcPr>
            <w:tcW w:w="0" w:type="auto"/>
            <w:tcBorders>
              <w:top w:val="single" w:sz="6" w:space="0" w:color="7F7F7F"/>
              <w:left w:val="single" w:sz="6" w:space="0" w:color="7F7F7F"/>
              <w:bottom w:val="single" w:sz="6" w:space="0" w:color="7F7F7F"/>
              <w:right w:val="single" w:sz="6" w:space="0" w:color="7F7F7F"/>
            </w:tcBorders>
            <w:shd w:val="clear" w:color="auto" w:fill="FFFEEE"/>
            <w:tcMar>
              <w:top w:w="105" w:type="dxa"/>
              <w:left w:w="105" w:type="dxa"/>
              <w:bottom w:w="105" w:type="dxa"/>
              <w:right w:w="105" w:type="dxa"/>
            </w:tcMar>
            <w:hideMark/>
          </w:tcPr>
          <w:p w14:paraId="2B84FDBF" w14:textId="37A4D44F"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r>
            <w:r w:rsidRPr="00DC1BB7">
              <w:rPr>
                <w:rFonts w:ascii="Arial" w:eastAsia="Times New Roman" w:hAnsi="Arial" w:cs="Arial"/>
                <w:color w:val="000000"/>
                <w:kern w:val="0"/>
                <w:sz w:val="24"/>
                <w:szCs w:val="24"/>
                <w:lang w:eastAsia="en-IN"/>
                <w14:ligatures w14:val="none"/>
              </w:rPr>
              <w:lastRenderedPageBreak/>
              <w:t>Profit = (61-60.</w:t>
            </w:r>
            <w:proofErr w:type="gramStart"/>
            <w:r w:rsidRPr="00DC1BB7">
              <w:rPr>
                <w:rFonts w:ascii="Arial" w:eastAsia="Times New Roman" w:hAnsi="Arial" w:cs="Arial"/>
                <w:color w:val="000000"/>
                <w:kern w:val="0"/>
                <w:sz w:val="24"/>
                <w:szCs w:val="24"/>
                <w:lang w:eastAsia="en-IN"/>
                <w14:ligatures w14:val="none"/>
              </w:rPr>
              <w:t>40)*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300,000</w:t>
            </w:r>
          </w:p>
        </w:tc>
        <w:tc>
          <w:tcPr>
            <w:tcW w:w="0" w:type="auto"/>
            <w:tcBorders>
              <w:top w:val="single" w:sz="6" w:space="0" w:color="7F7F7F"/>
              <w:left w:val="single" w:sz="6" w:space="0" w:color="7F7F7F"/>
              <w:bottom w:val="single" w:sz="6" w:space="0" w:color="7F7F7F"/>
              <w:right w:val="single" w:sz="6" w:space="0" w:color="7F7F7F"/>
            </w:tcBorders>
            <w:shd w:val="clear" w:color="auto" w:fill="FFFEEE"/>
            <w:tcMar>
              <w:top w:w="105" w:type="dxa"/>
              <w:left w:w="105" w:type="dxa"/>
              <w:bottom w:w="105" w:type="dxa"/>
              <w:right w:w="105" w:type="dxa"/>
            </w:tcMar>
            <w:hideMark/>
          </w:tcPr>
          <w:p w14:paraId="28074E5F" w14:textId="5996F1E4"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lastRenderedPageBreak/>
              <w:t>-</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 xml:space="preserve">200,000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300,000 = 100,000</w:t>
            </w:r>
          </w:p>
        </w:tc>
      </w:tr>
    </w:tbl>
    <w:p w14:paraId="7B87E162" w14:textId="77777777" w:rsidR="008A3976" w:rsidRPr="00DC1BB7" w:rsidRDefault="008A3976" w:rsidP="00DC1BB7">
      <w:pPr>
        <w:pStyle w:val="ListParagraph"/>
        <w:numPr>
          <w:ilvl w:val="0"/>
          <w:numId w:val="9"/>
        </w:numPr>
        <w:spacing w:after="30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As the results show, gain or loss in the spot market are not fully offset by the loss or gain in the financial market. But hedging is still effective in reducing the risk.</w:t>
      </w:r>
    </w:p>
    <w:p w14:paraId="17DFA1A6" w14:textId="77777777" w:rsidR="001847DC" w:rsidRPr="00DC1BB7" w:rsidRDefault="001847DC" w:rsidP="00DC1BB7">
      <w:pPr>
        <w:pStyle w:val="ListParagraph"/>
        <w:jc w:val="both"/>
        <w:rPr>
          <w:rFonts w:ascii="Arial" w:hAnsi="Arial" w:cs="Arial"/>
          <w:sz w:val="24"/>
          <w:szCs w:val="24"/>
        </w:rPr>
      </w:pPr>
    </w:p>
    <w:p w14:paraId="7637E442" w14:textId="4673D949" w:rsidR="008A3976" w:rsidRPr="00DC1BB7" w:rsidRDefault="008A3976"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7</w:t>
      </w:r>
      <w:r w:rsidRPr="00DC1BB7">
        <w:rPr>
          <w:rFonts w:ascii="Arial" w:eastAsia="Times New Roman" w:hAnsi="Arial" w:cs="Arial"/>
          <w:color w:val="000000"/>
          <w:kern w:val="0"/>
          <w:sz w:val="24"/>
          <w:szCs w:val="24"/>
          <w:lang w:eastAsia="en-IN"/>
          <w14:ligatures w14:val="none"/>
        </w:rPr>
        <w:t xml:space="preserve">: November 1st, the cash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60.35/</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61.50/bbl.</w:t>
      </w:r>
    </w:p>
    <w:tbl>
      <w:tblPr>
        <w:tblW w:w="0"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November 1st the cash prices are $60.35/bbl and the December futures contract would be $61.5/bbl"/>
      </w:tblPr>
      <w:tblGrid>
        <w:gridCol w:w="1557"/>
        <w:gridCol w:w="2186"/>
        <w:gridCol w:w="2936"/>
        <w:gridCol w:w="2347"/>
      </w:tblGrid>
      <w:tr w:rsidR="008A3976" w:rsidRPr="00DC1BB7" w14:paraId="098C6D39" w14:textId="77777777" w:rsidTr="008A3976">
        <w:trPr>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593CB8DA" w14:textId="77777777" w:rsidR="008A3976" w:rsidRPr="00DC1BB7" w:rsidRDefault="008A3976"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7</w:t>
            </w:r>
          </w:p>
        </w:tc>
      </w:tr>
      <w:tr w:rsidR="008A3976" w:rsidRPr="00DC1BB7" w14:paraId="524D9005" w14:textId="77777777" w:rsidTr="008A3976">
        <w:trPr>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6B46D801"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7D99654"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Cash Market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168C0A7"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AB3799E"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Net</w:t>
            </w:r>
          </w:p>
        </w:tc>
      </w:tr>
      <w:tr w:rsidR="008A3976" w:rsidRPr="00DC1BB7" w14:paraId="14E09C26"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049ADFC5"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48734C6" w14:textId="3A5858EC"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br/>
              <w:t>Long</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12007037" w14:textId="525FC082"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35DDB11E"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p>
        </w:tc>
      </w:tr>
      <w:tr w:rsidR="008A3976" w:rsidRPr="00DC1BB7" w14:paraId="1B60BCF5"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07D325E4"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4A614543" w14:textId="0DBCA8E1"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60.30/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(60.35-</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175,000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0AB0657" w14:textId="4A55A45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(61-61.</w:t>
            </w:r>
            <w:proofErr w:type="gramStart"/>
            <w:r w:rsidRPr="00DC1BB7">
              <w:rPr>
                <w:rFonts w:ascii="Arial" w:eastAsia="Times New Roman" w:hAnsi="Arial" w:cs="Arial"/>
                <w:color w:val="000000"/>
                <w:kern w:val="0"/>
                <w:sz w:val="24"/>
                <w:szCs w:val="24"/>
                <w:lang w:eastAsia="en-IN"/>
                <w14:ligatures w14:val="none"/>
              </w:rPr>
              <w:t>50)*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0C1EF9C5" w14:textId="6A6CB776" w:rsidR="008A3976"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8A3976" w:rsidRPr="00DC1BB7">
              <w:rPr>
                <w:rFonts w:ascii="Arial" w:eastAsia="Times New Roman" w:hAnsi="Arial" w:cs="Arial"/>
                <w:color w:val="000000"/>
                <w:kern w:val="0"/>
                <w:sz w:val="24"/>
                <w:szCs w:val="24"/>
                <w:lang w:eastAsia="en-IN"/>
                <w14:ligatures w14:val="none"/>
              </w:rPr>
              <w:t>175,000 + (-</w:t>
            </w:r>
            <w:r w:rsidRPr="00DC1BB7">
              <w:rPr>
                <w:rFonts w:ascii="Arial" w:eastAsia="Times New Roman" w:hAnsi="Arial" w:cs="Arial"/>
                <w:color w:val="000000"/>
                <w:kern w:val="0"/>
                <w:sz w:val="24"/>
                <w:szCs w:val="24"/>
                <w:lang w:eastAsia="en-IN"/>
                <w14:ligatures w14:val="none"/>
              </w:rPr>
              <w:t>₹</w:t>
            </w:r>
            <w:r w:rsidR="008A3976" w:rsidRPr="00DC1BB7">
              <w:rPr>
                <w:rFonts w:ascii="Arial" w:eastAsia="Times New Roman" w:hAnsi="Arial" w:cs="Arial"/>
                <w:color w:val="000000"/>
                <w:kern w:val="0"/>
                <w:sz w:val="24"/>
                <w:szCs w:val="24"/>
                <w:lang w:eastAsia="en-IN"/>
                <w14:ligatures w14:val="none"/>
              </w:rPr>
              <w:t>250,000) = -75,000</w:t>
            </w:r>
          </w:p>
        </w:tc>
      </w:tr>
    </w:tbl>
    <w:p w14:paraId="693DB3EE" w14:textId="40FE5B72" w:rsidR="008A3976" w:rsidRPr="00DC1BB7" w:rsidRDefault="008A3976"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8</w:t>
      </w:r>
      <w:r w:rsidRPr="00DC1BB7">
        <w:rPr>
          <w:rFonts w:ascii="Arial" w:eastAsia="Times New Roman" w:hAnsi="Arial" w:cs="Arial"/>
          <w:color w:val="000000"/>
          <w:kern w:val="0"/>
          <w:sz w:val="24"/>
          <w:szCs w:val="24"/>
          <w:lang w:eastAsia="en-IN"/>
          <w14:ligatures w14:val="none"/>
        </w:rPr>
        <w:t xml:space="preserve">: November 1st the cash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61.40/bbl.</w:t>
      </w:r>
    </w:p>
    <w:tbl>
      <w:tblPr>
        <w:tblW w:w="0"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November 1st the cash prices are $60.5/bbl and the December futures contract would be $61.4/bbl"/>
      </w:tblPr>
      <w:tblGrid>
        <w:gridCol w:w="1560"/>
        <w:gridCol w:w="2193"/>
        <w:gridCol w:w="2948"/>
        <w:gridCol w:w="2325"/>
      </w:tblGrid>
      <w:tr w:rsidR="008A3976" w:rsidRPr="00DC1BB7" w14:paraId="6E6C922A" w14:textId="77777777" w:rsidTr="008A3976">
        <w:trPr>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7F2CA2C0" w14:textId="77777777" w:rsidR="008A3976" w:rsidRPr="00DC1BB7" w:rsidRDefault="008A3976"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8</w:t>
            </w:r>
          </w:p>
        </w:tc>
      </w:tr>
      <w:tr w:rsidR="008A3976" w:rsidRPr="00DC1BB7" w14:paraId="09A84AB0" w14:textId="77777777" w:rsidTr="008A3976">
        <w:trPr>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56303D2F"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13A80B85"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30CE9FD2"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01D5FF1A" w14:textId="77777777" w:rsidR="008A3976" w:rsidRPr="00DC1BB7" w:rsidRDefault="008A3976"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8A3976" w:rsidRPr="00DC1BB7" w14:paraId="691B1C9A"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1845E4EF"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C6C68A0" w14:textId="1AD9665C"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br/>
              <w:t>Long</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75F69B79" w14:textId="12325FD9"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Producer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10B77549" w14:textId="77777777"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p>
        </w:tc>
      </w:tr>
      <w:tr w:rsidR="008A3976" w:rsidRPr="00DC1BB7" w14:paraId="523D338F" w14:textId="77777777" w:rsidTr="008A3976">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50252ACB" w14:textId="77777777" w:rsidR="008A3976" w:rsidRPr="00DC1BB7" w:rsidRDefault="008A3976"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CE78856" w14:textId="563073B3"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(60.50-</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196615E0" w14:textId="272300D2" w:rsidR="008A3976" w:rsidRPr="00DC1BB7" w:rsidRDefault="008A3976"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Producer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61.40/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(61-</w:t>
            </w:r>
            <w:r w:rsidRPr="00DC1BB7">
              <w:rPr>
                <w:rFonts w:ascii="Arial" w:eastAsia="Times New Roman" w:hAnsi="Arial" w:cs="Arial"/>
                <w:color w:val="000000"/>
                <w:kern w:val="0"/>
                <w:sz w:val="24"/>
                <w:szCs w:val="24"/>
                <w:lang w:eastAsia="en-IN"/>
                <w14:ligatures w14:val="none"/>
              </w:rPr>
              <w:lastRenderedPageBreak/>
              <w:t>61.</w:t>
            </w:r>
            <w:proofErr w:type="gramStart"/>
            <w:r w:rsidRPr="00DC1BB7">
              <w:rPr>
                <w:rFonts w:ascii="Arial" w:eastAsia="Times New Roman" w:hAnsi="Arial" w:cs="Arial"/>
                <w:color w:val="000000"/>
                <w:kern w:val="0"/>
                <w:sz w:val="24"/>
                <w:szCs w:val="24"/>
                <w:lang w:eastAsia="en-IN"/>
                <w14:ligatures w14:val="none"/>
              </w:rPr>
              <w:t>40)*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C61E28D" w14:textId="011A5BB4" w:rsidR="008A3976"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lastRenderedPageBreak/>
              <w:t>₹</w:t>
            </w:r>
            <w:r w:rsidR="008A3976" w:rsidRPr="00DC1BB7">
              <w:rPr>
                <w:rFonts w:ascii="Arial" w:eastAsia="Times New Roman" w:hAnsi="Arial" w:cs="Arial"/>
                <w:color w:val="000000"/>
                <w:kern w:val="0"/>
                <w:sz w:val="24"/>
                <w:szCs w:val="24"/>
                <w:lang w:eastAsia="en-IN"/>
                <w14:ligatures w14:val="none"/>
              </w:rPr>
              <w:t>250,000 + (-</w:t>
            </w:r>
            <w:r w:rsidRPr="00DC1BB7">
              <w:rPr>
                <w:rFonts w:ascii="Arial" w:eastAsia="Times New Roman" w:hAnsi="Arial" w:cs="Arial"/>
                <w:color w:val="000000"/>
                <w:kern w:val="0"/>
                <w:sz w:val="24"/>
                <w:szCs w:val="24"/>
                <w:lang w:eastAsia="en-IN"/>
                <w14:ligatures w14:val="none"/>
              </w:rPr>
              <w:t>₹</w:t>
            </w:r>
            <w:r w:rsidR="008A3976" w:rsidRPr="00DC1BB7">
              <w:rPr>
                <w:rFonts w:ascii="Arial" w:eastAsia="Times New Roman" w:hAnsi="Arial" w:cs="Arial"/>
                <w:color w:val="000000"/>
                <w:kern w:val="0"/>
                <w:sz w:val="24"/>
                <w:szCs w:val="24"/>
                <w:lang w:eastAsia="en-IN"/>
                <w14:ligatures w14:val="none"/>
              </w:rPr>
              <w:t>200,000) = 50,000</w:t>
            </w:r>
          </w:p>
        </w:tc>
      </w:tr>
    </w:tbl>
    <w:p w14:paraId="7547AAA2" w14:textId="77777777" w:rsidR="008A3976" w:rsidRPr="00DC1BB7" w:rsidRDefault="008A3976" w:rsidP="00DC1BB7">
      <w:pPr>
        <w:pStyle w:val="ListParagraph"/>
        <w:jc w:val="both"/>
        <w:rPr>
          <w:rFonts w:ascii="Arial" w:hAnsi="Arial" w:cs="Arial"/>
          <w:sz w:val="24"/>
          <w:szCs w:val="24"/>
        </w:rPr>
      </w:pPr>
    </w:p>
    <w:p w14:paraId="4AAED902" w14:textId="77777777" w:rsidR="008A3976" w:rsidRPr="00DC1BB7" w:rsidRDefault="008A3976" w:rsidP="00DC1BB7">
      <w:pPr>
        <w:pStyle w:val="Heading3"/>
        <w:spacing w:before="0" w:after="75"/>
        <w:jc w:val="both"/>
        <w:textAlignment w:val="baseline"/>
        <w:rPr>
          <w:rFonts w:ascii="Arial" w:hAnsi="Arial" w:cs="Arial"/>
          <w:color w:val="444444"/>
        </w:rPr>
      </w:pPr>
      <w:r w:rsidRPr="00DC1BB7">
        <w:rPr>
          <w:rFonts w:ascii="Arial" w:hAnsi="Arial" w:cs="Arial"/>
          <w:color w:val="444444"/>
        </w:rPr>
        <w:t>2. Buyer's hedge or long hedge</w:t>
      </w:r>
    </w:p>
    <w:p w14:paraId="6E491E13" w14:textId="1F17E7F1" w:rsidR="00163BE3" w:rsidRPr="00DC1BB7" w:rsidRDefault="00163BE3" w:rsidP="00DC1BB7">
      <w:pPr>
        <w:spacing w:after="30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Assuming prices have gone down from the time the refinery buys the future contracts until November 1st. </w:t>
      </w:r>
      <w:proofErr w:type="gramStart"/>
      <w:r w:rsidRPr="00DC1BB7">
        <w:rPr>
          <w:rFonts w:ascii="Arial" w:eastAsia="Times New Roman" w:hAnsi="Arial" w:cs="Arial"/>
          <w:color w:val="000000"/>
          <w:kern w:val="0"/>
          <w:sz w:val="24"/>
          <w:szCs w:val="24"/>
          <w:lang w:eastAsia="en-IN"/>
          <w14:ligatures w14:val="none"/>
        </w:rPr>
        <w:t>Let's</w:t>
      </w:r>
      <w:proofErr w:type="gramEnd"/>
      <w:r w:rsidRPr="00DC1BB7">
        <w:rPr>
          <w:rFonts w:ascii="Arial" w:eastAsia="Times New Roman" w:hAnsi="Arial" w:cs="Arial"/>
          <w:color w:val="000000"/>
          <w:kern w:val="0"/>
          <w:sz w:val="24"/>
          <w:szCs w:val="24"/>
          <w:lang w:eastAsia="en-IN"/>
          <w14:ligatures w14:val="none"/>
        </w:rPr>
        <w:t xml:space="preserve"> consider the above cases:</w:t>
      </w:r>
    </w:p>
    <w:p w14:paraId="06139E97" w14:textId="42667C92" w:rsidR="00163BE3" w:rsidRPr="00DC1BB7" w:rsidRDefault="00163BE3" w:rsidP="00DC1BB7">
      <w:pPr>
        <w:numPr>
          <w:ilvl w:val="0"/>
          <w:numId w:val="11"/>
        </w:numPr>
        <w:spacing w:after="75" w:line="300" w:lineRule="atLeast"/>
        <w:ind w:left="1095"/>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60.60/bbl.</w:t>
      </w:r>
    </w:p>
    <w:p w14:paraId="39B7B8AF" w14:textId="60263456" w:rsidR="00163BE3" w:rsidRPr="00DC1BB7" w:rsidRDefault="00163BE3" w:rsidP="00DC1BB7">
      <w:pPr>
        <w:numPr>
          <w:ilvl w:val="0"/>
          <w:numId w:val="11"/>
        </w:numPr>
        <w:spacing w:after="75" w:line="300" w:lineRule="atLeast"/>
        <w:ind w:left="1095"/>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60.40/bbl.</w:t>
      </w:r>
    </w:p>
    <w:p w14:paraId="5834E365" w14:textId="288578CF" w:rsidR="00163BE3" w:rsidRPr="00DC1BB7" w:rsidRDefault="00163BE3"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9</w:t>
      </w:r>
      <w:r w:rsidRPr="00DC1BB7">
        <w:rPr>
          <w:rFonts w:ascii="Arial" w:eastAsia="Times New Roman" w:hAnsi="Arial" w:cs="Arial"/>
          <w:color w:val="000000"/>
          <w:kern w:val="0"/>
          <w:sz w:val="24"/>
          <w:szCs w:val="24"/>
          <w:lang w:eastAsia="en-IN"/>
          <w14:ligatures w14:val="none"/>
        </w:rPr>
        <w:t xml:space="preserve">: 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futures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60.60/bbl.</w:t>
      </w:r>
    </w:p>
    <w:tbl>
      <w:tblPr>
        <w:tblW w:w="0"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November 1st the spot market prices are $59.5/bbl and the December futures contract would be $60.60/bbl"/>
      </w:tblPr>
      <w:tblGrid>
        <w:gridCol w:w="1562"/>
        <w:gridCol w:w="2392"/>
        <w:gridCol w:w="2735"/>
        <w:gridCol w:w="2337"/>
      </w:tblGrid>
      <w:tr w:rsidR="00163BE3" w:rsidRPr="00DC1BB7" w14:paraId="47D662CD" w14:textId="77777777" w:rsidTr="00163BE3">
        <w:trPr>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00048106" w14:textId="77777777" w:rsidR="00163BE3" w:rsidRPr="00DC1BB7" w:rsidRDefault="00163BE3"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9</w:t>
            </w:r>
          </w:p>
        </w:tc>
      </w:tr>
      <w:tr w:rsidR="00163BE3" w:rsidRPr="00DC1BB7" w14:paraId="1C85E1D8" w14:textId="77777777" w:rsidTr="00163BE3">
        <w:trPr>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06991EFB"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3B462F9E"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0E9D8F3A"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4D8C5AD8"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63BE3" w:rsidRPr="00DC1BB7" w14:paraId="78F65BB6" w14:textId="77777777" w:rsidTr="00163BE3">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5735D8FC" w14:textId="77777777" w:rsidR="00163BE3" w:rsidRPr="00DC1BB7" w:rsidRDefault="00163BE3"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47D21A42" w14:textId="5DE63E8A"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6246203B" w14:textId="68BD3234"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Refinery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374F5180" w14:textId="77777777"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63BE3" w:rsidRPr="00DC1BB7" w14:paraId="7737188B" w14:textId="77777777" w:rsidTr="00163BE3">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1E294882" w14:textId="77777777" w:rsidR="00163BE3" w:rsidRPr="00DC1BB7" w:rsidRDefault="00163BE3"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30CF7294" w14:textId="36EBC912"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59.50/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(60-59.</w:t>
            </w:r>
            <w:proofErr w:type="gramStart"/>
            <w:r w:rsidRPr="00DC1BB7">
              <w:rPr>
                <w:rFonts w:ascii="Arial" w:eastAsia="Times New Roman" w:hAnsi="Arial" w:cs="Arial"/>
                <w:color w:val="000000"/>
                <w:kern w:val="0"/>
                <w:sz w:val="24"/>
                <w:szCs w:val="24"/>
                <w:lang w:eastAsia="en-IN"/>
                <w14:ligatures w14:val="none"/>
              </w:rPr>
              <w:t>50)*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250,000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216B58F5" w14:textId="24341C10"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Refinery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(60.60-</w:t>
            </w:r>
            <w:proofErr w:type="gramStart"/>
            <w:r w:rsidRPr="00DC1BB7">
              <w:rPr>
                <w:rFonts w:ascii="Arial" w:eastAsia="Times New Roman" w:hAnsi="Arial" w:cs="Arial"/>
                <w:color w:val="000000"/>
                <w:kern w:val="0"/>
                <w:sz w:val="24"/>
                <w:szCs w:val="24"/>
                <w:lang w:eastAsia="en-IN"/>
                <w14:ligatures w14:val="none"/>
              </w:rPr>
              <w:t>61)*</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2E406388" w14:textId="533669FE" w:rsidR="00163BE3"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163BE3" w:rsidRPr="00DC1BB7">
              <w:rPr>
                <w:rFonts w:ascii="Arial" w:eastAsia="Times New Roman" w:hAnsi="Arial" w:cs="Arial"/>
                <w:color w:val="000000"/>
                <w:kern w:val="0"/>
                <w:sz w:val="24"/>
                <w:szCs w:val="24"/>
                <w:lang w:eastAsia="en-IN"/>
                <w14:ligatures w14:val="none"/>
              </w:rPr>
              <w:t>250,000 + (-</w:t>
            </w:r>
            <w:r w:rsidRPr="00DC1BB7">
              <w:rPr>
                <w:rFonts w:ascii="Arial" w:eastAsia="Times New Roman" w:hAnsi="Arial" w:cs="Arial"/>
                <w:color w:val="000000"/>
                <w:kern w:val="0"/>
                <w:sz w:val="24"/>
                <w:szCs w:val="24"/>
                <w:lang w:eastAsia="en-IN"/>
                <w14:ligatures w14:val="none"/>
              </w:rPr>
              <w:t>₹</w:t>
            </w:r>
            <w:r w:rsidR="00163BE3" w:rsidRPr="00DC1BB7">
              <w:rPr>
                <w:rFonts w:ascii="Arial" w:eastAsia="Times New Roman" w:hAnsi="Arial" w:cs="Arial"/>
                <w:color w:val="000000"/>
                <w:kern w:val="0"/>
                <w:sz w:val="24"/>
                <w:szCs w:val="24"/>
                <w:lang w:eastAsia="en-IN"/>
                <w14:ligatures w14:val="none"/>
              </w:rPr>
              <w:t>200,000) = 50,000</w:t>
            </w:r>
          </w:p>
        </w:tc>
      </w:tr>
    </w:tbl>
    <w:p w14:paraId="17B578EC" w14:textId="4E6105D2" w:rsidR="00163BE3" w:rsidRPr="00DC1BB7" w:rsidRDefault="00163BE3" w:rsidP="00DC1BB7">
      <w:pPr>
        <w:spacing w:after="0" w:line="300" w:lineRule="atLeast"/>
        <w:jc w:val="both"/>
        <w:textAlignment w:val="baseline"/>
        <w:rPr>
          <w:rFonts w:ascii="Arial" w:eastAsia="Times New Roman" w:hAnsi="Arial" w:cs="Arial"/>
          <w:color w:val="000000"/>
          <w:kern w:val="0"/>
          <w:sz w:val="24"/>
          <w:szCs w:val="24"/>
          <w:lang w:eastAsia="en-IN"/>
          <w14:ligatures w14:val="none"/>
        </w:rPr>
      </w:pPr>
      <w:r w:rsidRPr="00DC1BB7">
        <w:rPr>
          <w:rFonts w:ascii="Arial" w:eastAsia="Times New Roman" w:hAnsi="Arial" w:cs="Arial"/>
          <w:b/>
          <w:bCs/>
          <w:color w:val="000000"/>
          <w:kern w:val="0"/>
          <w:sz w:val="24"/>
          <w:szCs w:val="24"/>
          <w:bdr w:val="none" w:sz="0" w:space="0" w:color="auto" w:frame="1"/>
          <w:lang w:eastAsia="en-IN"/>
          <w14:ligatures w14:val="none"/>
        </w:rPr>
        <w:t>Example 10</w:t>
      </w:r>
      <w:r w:rsidRPr="00DC1BB7">
        <w:rPr>
          <w:rFonts w:ascii="Arial" w:eastAsia="Times New Roman" w:hAnsi="Arial" w:cs="Arial"/>
          <w:color w:val="000000"/>
          <w:kern w:val="0"/>
          <w:sz w:val="24"/>
          <w:szCs w:val="24"/>
          <w:lang w:eastAsia="en-IN"/>
          <w14:ligatures w14:val="none"/>
        </w:rPr>
        <w:t xml:space="preserve">: On November 1st, the spot market prices are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t xml:space="preserve"> and the December future contract would be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60.40/bbl.</w:t>
      </w:r>
    </w:p>
    <w:tbl>
      <w:tblPr>
        <w:tblW w:w="0" w:type="dxa"/>
        <w:tblBorders>
          <w:top w:val="single" w:sz="6" w:space="0" w:color="CCCCCC"/>
          <w:left w:val="single" w:sz="6" w:space="0" w:color="CCCCCC"/>
          <w:bottom w:val="single" w:sz="6" w:space="0" w:color="CCCCCC"/>
          <w:right w:val="single" w:sz="6" w:space="0" w:color="CCCCCC"/>
        </w:tblBorders>
        <w:shd w:val="clear" w:color="auto" w:fill="FFFFFF"/>
        <w:tblCellMar>
          <w:left w:w="0" w:type="dxa"/>
          <w:right w:w="0" w:type="dxa"/>
        </w:tblCellMar>
        <w:tblLook w:val="04A0" w:firstRow="1" w:lastRow="0" w:firstColumn="1" w:lastColumn="0" w:noHBand="0" w:noVBand="1"/>
        <w:tblDescription w:val="November 1st the spot market prices are $59.6/bbl and the December future contract would be $60.40/bbl"/>
      </w:tblPr>
      <w:tblGrid>
        <w:gridCol w:w="1556"/>
        <w:gridCol w:w="2376"/>
        <w:gridCol w:w="2699"/>
        <w:gridCol w:w="2395"/>
      </w:tblGrid>
      <w:tr w:rsidR="00163BE3" w:rsidRPr="00DC1BB7" w14:paraId="3C32D927" w14:textId="77777777" w:rsidTr="00163BE3">
        <w:trPr>
          <w:tblHeader/>
        </w:trPr>
        <w:tc>
          <w:tcPr>
            <w:tcW w:w="0" w:type="auto"/>
            <w:gridSpan w:val="4"/>
            <w:tcBorders>
              <w:top w:val="nil"/>
              <w:left w:val="nil"/>
              <w:bottom w:val="nil"/>
              <w:right w:val="nil"/>
            </w:tcBorders>
            <w:shd w:val="clear" w:color="auto" w:fill="555555"/>
            <w:tcMar>
              <w:top w:w="105" w:type="dxa"/>
              <w:left w:w="105" w:type="dxa"/>
              <w:bottom w:w="105" w:type="dxa"/>
              <w:right w:w="105" w:type="dxa"/>
            </w:tcMar>
            <w:vAlign w:val="center"/>
            <w:hideMark/>
          </w:tcPr>
          <w:p w14:paraId="27ECA2EB" w14:textId="77777777" w:rsidR="00163BE3" w:rsidRPr="00DC1BB7" w:rsidRDefault="00163BE3" w:rsidP="00DC1BB7">
            <w:pPr>
              <w:spacing w:before="150" w:after="75" w:line="300"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Example 10</w:t>
            </w:r>
          </w:p>
        </w:tc>
      </w:tr>
      <w:tr w:rsidR="00163BE3" w:rsidRPr="00DC1BB7" w14:paraId="69AD416A" w14:textId="77777777" w:rsidTr="00163BE3">
        <w:trPr>
          <w:tblHeader/>
        </w:trPr>
        <w:tc>
          <w:tcPr>
            <w:tcW w:w="0" w:type="auto"/>
            <w:tcBorders>
              <w:top w:val="single" w:sz="6" w:space="0" w:color="7F7F7F"/>
              <w:left w:val="single" w:sz="6" w:space="0" w:color="7F7F7F"/>
              <w:bottom w:val="single" w:sz="6" w:space="0" w:color="333333"/>
              <w:right w:val="single" w:sz="6" w:space="0" w:color="333333"/>
            </w:tcBorders>
            <w:shd w:val="clear" w:color="auto" w:fill="555555"/>
            <w:tcMar>
              <w:top w:w="105" w:type="dxa"/>
              <w:left w:w="105" w:type="dxa"/>
              <w:bottom w:w="105" w:type="dxa"/>
              <w:right w:w="105" w:type="dxa"/>
            </w:tcMar>
            <w:hideMark/>
          </w:tcPr>
          <w:p w14:paraId="05C18776"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Date</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6C76689F"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Cash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159882CB"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Financial Market</w:t>
            </w:r>
          </w:p>
        </w:tc>
        <w:tc>
          <w:tcPr>
            <w:tcW w:w="0" w:type="auto"/>
            <w:tcBorders>
              <w:top w:val="single" w:sz="6" w:space="0" w:color="7F7F7F"/>
              <w:left w:val="single" w:sz="6" w:space="0" w:color="7F7F7F"/>
              <w:bottom w:val="single" w:sz="6" w:space="0" w:color="333333"/>
              <w:right w:val="dotted" w:sz="6" w:space="0" w:color="666666"/>
            </w:tcBorders>
            <w:shd w:val="clear" w:color="auto" w:fill="555555"/>
            <w:tcMar>
              <w:top w:w="105" w:type="dxa"/>
              <w:left w:w="105" w:type="dxa"/>
              <w:bottom w:w="105" w:type="dxa"/>
              <w:right w:w="105" w:type="dxa"/>
            </w:tcMar>
            <w:hideMark/>
          </w:tcPr>
          <w:p w14:paraId="16DE4FEF" w14:textId="77777777" w:rsidR="00163BE3" w:rsidRPr="00DC1BB7" w:rsidRDefault="00163BE3" w:rsidP="00DC1BB7">
            <w:pPr>
              <w:spacing w:after="0" w:line="255" w:lineRule="atLeast"/>
              <w:jc w:val="both"/>
              <w:rPr>
                <w:rFonts w:ascii="Arial" w:eastAsia="Times New Roman" w:hAnsi="Arial" w:cs="Arial"/>
                <w:b/>
                <w:bCs/>
                <w:color w:val="FFFFFF"/>
                <w:kern w:val="0"/>
                <w:sz w:val="24"/>
                <w:szCs w:val="24"/>
                <w:lang w:eastAsia="en-IN"/>
                <w14:ligatures w14:val="none"/>
              </w:rPr>
            </w:pPr>
            <w:r w:rsidRPr="00DC1BB7">
              <w:rPr>
                <w:rFonts w:ascii="Arial" w:eastAsia="Times New Roman" w:hAnsi="Arial" w:cs="Arial"/>
                <w:b/>
                <w:bCs/>
                <w:color w:val="FFFFFF"/>
                <w:kern w:val="0"/>
                <w:sz w:val="24"/>
                <w:szCs w:val="24"/>
                <w:lang w:eastAsia="en-IN"/>
                <w14:ligatures w14:val="none"/>
              </w:rPr>
              <w:t>Net</w:t>
            </w:r>
          </w:p>
        </w:tc>
      </w:tr>
      <w:tr w:rsidR="00163BE3" w:rsidRPr="00DC1BB7" w14:paraId="3897FBA9" w14:textId="77777777" w:rsidTr="00163BE3">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36B36530" w14:textId="77777777" w:rsidR="00163BE3" w:rsidRPr="00DC1BB7" w:rsidRDefault="00163BE3"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t>Now</w:t>
            </w:r>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1B3DA893" w14:textId="74D3938B"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Short</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2778C37B" w14:textId="1707CE58"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Long</w:t>
            </w:r>
            <w:r w:rsidRPr="00DC1BB7">
              <w:rPr>
                <w:rFonts w:ascii="Arial" w:eastAsia="Times New Roman" w:hAnsi="Arial" w:cs="Arial"/>
                <w:color w:val="000000"/>
                <w:kern w:val="0"/>
                <w:sz w:val="24"/>
                <w:szCs w:val="24"/>
                <w:lang w:eastAsia="en-IN"/>
                <w14:ligatures w14:val="none"/>
              </w:rPr>
              <w:br/>
              <w:t>Refinery buys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61/</w:t>
            </w:r>
            <w:proofErr w:type="spellStart"/>
            <w:r w:rsidRPr="00DC1BB7">
              <w:rPr>
                <w:rFonts w:ascii="Arial" w:eastAsia="Times New Roman" w:hAnsi="Arial" w:cs="Arial"/>
                <w:color w:val="000000"/>
                <w:kern w:val="0"/>
                <w:sz w:val="24"/>
                <w:szCs w:val="24"/>
                <w:lang w:eastAsia="en-IN"/>
                <w14:ligatures w14:val="none"/>
              </w:rPr>
              <w:t>bbl</w:t>
            </w:r>
            <w:proofErr w:type="spellEnd"/>
          </w:p>
        </w:tc>
        <w:tc>
          <w:tcPr>
            <w:tcW w:w="0" w:type="auto"/>
            <w:tcBorders>
              <w:top w:val="single" w:sz="6" w:space="0" w:color="7F7F7F"/>
              <w:left w:val="single" w:sz="6" w:space="0" w:color="7F7F7F"/>
              <w:bottom w:val="single" w:sz="6" w:space="0" w:color="7F7F7F"/>
              <w:right w:val="single" w:sz="6" w:space="0" w:color="7F7F7F"/>
            </w:tcBorders>
            <w:shd w:val="clear" w:color="auto" w:fill="EEEEEE"/>
            <w:tcMar>
              <w:top w:w="105" w:type="dxa"/>
              <w:left w:w="105" w:type="dxa"/>
              <w:bottom w:w="105" w:type="dxa"/>
              <w:right w:w="105" w:type="dxa"/>
            </w:tcMar>
            <w:hideMark/>
          </w:tcPr>
          <w:p w14:paraId="5EF00260" w14:textId="77777777"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p>
        </w:tc>
      </w:tr>
      <w:tr w:rsidR="00163BE3" w:rsidRPr="00DC1BB7" w14:paraId="2CF90053" w14:textId="77777777" w:rsidTr="00163BE3">
        <w:tc>
          <w:tcPr>
            <w:tcW w:w="0" w:type="auto"/>
            <w:tcBorders>
              <w:top w:val="single" w:sz="6" w:space="0" w:color="7F7F7F"/>
              <w:left w:val="single" w:sz="6" w:space="0" w:color="7F7F7F"/>
              <w:bottom w:val="single" w:sz="6" w:space="0" w:color="7F7F7F"/>
              <w:right w:val="single" w:sz="6" w:space="0" w:color="333333"/>
            </w:tcBorders>
            <w:shd w:val="clear" w:color="auto" w:fill="CCCCCC"/>
            <w:tcMar>
              <w:top w:w="105" w:type="dxa"/>
              <w:left w:w="105" w:type="dxa"/>
              <w:bottom w:w="105" w:type="dxa"/>
              <w:right w:w="105" w:type="dxa"/>
            </w:tcMar>
            <w:hideMark/>
          </w:tcPr>
          <w:p w14:paraId="399E539E" w14:textId="77777777" w:rsidR="00163BE3" w:rsidRPr="00DC1BB7" w:rsidRDefault="00163BE3" w:rsidP="00DC1BB7">
            <w:pPr>
              <w:spacing w:after="0" w:line="255" w:lineRule="atLeast"/>
              <w:jc w:val="both"/>
              <w:rPr>
                <w:rFonts w:ascii="Arial" w:eastAsia="Times New Roman" w:hAnsi="Arial" w:cs="Arial"/>
                <w:b/>
                <w:bCs/>
                <w:color w:val="000000"/>
                <w:kern w:val="0"/>
                <w:sz w:val="24"/>
                <w:szCs w:val="24"/>
                <w:lang w:eastAsia="en-IN"/>
                <w14:ligatures w14:val="none"/>
              </w:rPr>
            </w:pPr>
            <w:r w:rsidRPr="00DC1BB7">
              <w:rPr>
                <w:rFonts w:ascii="Arial" w:eastAsia="Times New Roman" w:hAnsi="Arial" w:cs="Arial"/>
                <w:b/>
                <w:bCs/>
                <w:color w:val="000000"/>
                <w:kern w:val="0"/>
                <w:sz w:val="24"/>
                <w:szCs w:val="24"/>
                <w:lang w:eastAsia="en-IN"/>
                <w14:ligatures w14:val="none"/>
              </w:rPr>
              <w:lastRenderedPageBreak/>
              <w:t>November 1st</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09FAAA58" w14:textId="7258CF5C"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59.60/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Profit = (60-59.</w:t>
            </w:r>
            <w:proofErr w:type="gramStart"/>
            <w:r w:rsidRPr="00DC1BB7">
              <w:rPr>
                <w:rFonts w:ascii="Arial" w:eastAsia="Times New Roman" w:hAnsi="Arial" w:cs="Arial"/>
                <w:color w:val="000000"/>
                <w:kern w:val="0"/>
                <w:sz w:val="24"/>
                <w:szCs w:val="24"/>
                <w:lang w:eastAsia="en-IN"/>
                <w14:ligatures w14:val="none"/>
              </w:rPr>
              <w:t>60)*</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200,000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7065B28E" w14:textId="43F14BA8" w:rsidR="00163BE3" w:rsidRPr="00DC1BB7" w:rsidRDefault="00163BE3"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Close the position:</w:t>
            </w:r>
            <w:r w:rsidRPr="00DC1BB7">
              <w:rPr>
                <w:rFonts w:ascii="Arial" w:eastAsia="Times New Roman" w:hAnsi="Arial" w:cs="Arial"/>
                <w:color w:val="000000"/>
                <w:kern w:val="0"/>
                <w:sz w:val="24"/>
                <w:szCs w:val="24"/>
                <w:lang w:eastAsia="en-IN"/>
                <w14:ligatures w14:val="none"/>
              </w:rPr>
              <w:br/>
              <w:t>Refinery sells 500 December contracts</w:t>
            </w:r>
            <w:r w:rsidRPr="00DC1BB7">
              <w:rPr>
                <w:rFonts w:ascii="Arial" w:eastAsia="Times New Roman" w:hAnsi="Arial" w:cs="Arial"/>
                <w:color w:val="000000"/>
                <w:kern w:val="0"/>
                <w:sz w:val="24"/>
                <w:szCs w:val="24"/>
                <w:lang w:eastAsia="en-IN"/>
                <w14:ligatures w14:val="none"/>
              </w:rPr>
              <w:br/>
              <w:t xml:space="preserve">Price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60.40/</w:t>
            </w:r>
            <w:proofErr w:type="spellStart"/>
            <w:r w:rsidRPr="00DC1BB7">
              <w:rPr>
                <w:rFonts w:ascii="Arial" w:eastAsia="Times New Roman" w:hAnsi="Arial" w:cs="Arial"/>
                <w:color w:val="000000"/>
                <w:kern w:val="0"/>
                <w:sz w:val="24"/>
                <w:szCs w:val="24"/>
                <w:lang w:eastAsia="en-IN"/>
                <w14:ligatures w14:val="none"/>
              </w:rPr>
              <w:t>bbl</w:t>
            </w:r>
            <w:proofErr w:type="spellEnd"/>
            <w:r w:rsidRPr="00DC1BB7">
              <w:rPr>
                <w:rFonts w:ascii="Arial" w:eastAsia="Times New Roman" w:hAnsi="Arial" w:cs="Arial"/>
                <w:color w:val="000000"/>
                <w:kern w:val="0"/>
                <w:sz w:val="24"/>
                <w:szCs w:val="24"/>
                <w:lang w:eastAsia="en-IN"/>
                <w14:ligatures w14:val="none"/>
              </w:rPr>
              <w:br/>
              <w:t>Loss = (60.40-</w:t>
            </w:r>
            <w:proofErr w:type="gramStart"/>
            <w:r w:rsidRPr="00DC1BB7">
              <w:rPr>
                <w:rFonts w:ascii="Arial" w:eastAsia="Times New Roman" w:hAnsi="Arial" w:cs="Arial"/>
                <w:color w:val="000000"/>
                <w:kern w:val="0"/>
                <w:sz w:val="24"/>
                <w:szCs w:val="24"/>
                <w:lang w:eastAsia="en-IN"/>
                <w14:ligatures w14:val="none"/>
              </w:rPr>
              <w:t>61)*</w:t>
            </w:r>
            <w:proofErr w:type="gramEnd"/>
            <w:r w:rsidRPr="00DC1BB7">
              <w:rPr>
                <w:rFonts w:ascii="Arial" w:eastAsia="Times New Roman" w:hAnsi="Arial" w:cs="Arial"/>
                <w:color w:val="000000"/>
                <w:kern w:val="0"/>
                <w:sz w:val="24"/>
                <w:szCs w:val="24"/>
                <w:lang w:eastAsia="en-IN"/>
                <w14:ligatures w14:val="none"/>
              </w:rPr>
              <w:t>500,000</w:t>
            </w:r>
            <w:r w:rsidRPr="00DC1BB7">
              <w:rPr>
                <w:rFonts w:ascii="Arial" w:eastAsia="Times New Roman" w:hAnsi="Arial" w:cs="Arial"/>
                <w:color w:val="000000"/>
                <w:kern w:val="0"/>
                <w:sz w:val="24"/>
                <w:szCs w:val="24"/>
                <w:lang w:eastAsia="en-IN"/>
                <w14:ligatures w14:val="none"/>
              </w:rPr>
              <w:br/>
              <w:t xml:space="preserve">= - </w:t>
            </w:r>
            <w:r w:rsidR="00DC1BB7" w:rsidRPr="00DC1BB7">
              <w:rPr>
                <w:rFonts w:ascii="Arial" w:eastAsia="Times New Roman" w:hAnsi="Arial" w:cs="Arial"/>
                <w:color w:val="000000"/>
                <w:kern w:val="0"/>
                <w:sz w:val="24"/>
                <w:szCs w:val="24"/>
                <w:lang w:eastAsia="en-IN"/>
                <w14:ligatures w14:val="none"/>
              </w:rPr>
              <w:t>₹</w:t>
            </w:r>
            <w:r w:rsidRPr="00DC1BB7">
              <w:rPr>
                <w:rFonts w:ascii="Arial" w:eastAsia="Times New Roman" w:hAnsi="Arial" w:cs="Arial"/>
                <w:color w:val="000000"/>
                <w:kern w:val="0"/>
                <w:sz w:val="24"/>
                <w:szCs w:val="24"/>
                <w:lang w:eastAsia="en-IN"/>
                <w14:ligatures w14:val="none"/>
              </w:rPr>
              <w:t>300,000</w:t>
            </w:r>
          </w:p>
        </w:tc>
        <w:tc>
          <w:tcPr>
            <w:tcW w:w="0" w:type="auto"/>
            <w:tcBorders>
              <w:top w:val="single" w:sz="6" w:space="0" w:color="7F7F7F"/>
              <w:left w:val="single" w:sz="6" w:space="0" w:color="7F7F7F"/>
              <w:bottom w:val="single" w:sz="6" w:space="0" w:color="7F7F7F"/>
              <w:right w:val="single" w:sz="6" w:space="0" w:color="7F7F7F"/>
            </w:tcBorders>
            <w:shd w:val="clear" w:color="auto" w:fill="FFFFFF"/>
            <w:tcMar>
              <w:top w:w="105" w:type="dxa"/>
              <w:left w:w="105" w:type="dxa"/>
              <w:bottom w:w="105" w:type="dxa"/>
              <w:right w:w="105" w:type="dxa"/>
            </w:tcMar>
            <w:hideMark/>
          </w:tcPr>
          <w:p w14:paraId="087FE175" w14:textId="57939438" w:rsidR="00163BE3" w:rsidRPr="00DC1BB7" w:rsidRDefault="00DC1BB7" w:rsidP="00DC1BB7">
            <w:pPr>
              <w:spacing w:after="0" w:line="255" w:lineRule="atLeast"/>
              <w:jc w:val="both"/>
              <w:rPr>
                <w:rFonts w:ascii="Arial" w:eastAsia="Times New Roman" w:hAnsi="Arial" w:cs="Arial"/>
                <w:color w:val="000000"/>
                <w:kern w:val="0"/>
                <w:sz w:val="24"/>
                <w:szCs w:val="24"/>
                <w:lang w:eastAsia="en-IN"/>
                <w14:ligatures w14:val="none"/>
              </w:rPr>
            </w:pPr>
            <w:r w:rsidRPr="00DC1BB7">
              <w:rPr>
                <w:rFonts w:ascii="Arial" w:eastAsia="Times New Roman" w:hAnsi="Arial" w:cs="Arial"/>
                <w:color w:val="000000"/>
                <w:kern w:val="0"/>
                <w:sz w:val="24"/>
                <w:szCs w:val="24"/>
                <w:lang w:eastAsia="en-IN"/>
                <w14:ligatures w14:val="none"/>
              </w:rPr>
              <w:t>₹</w:t>
            </w:r>
            <w:r w:rsidR="00163BE3" w:rsidRPr="00DC1BB7">
              <w:rPr>
                <w:rFonts w:ascii="Arial" w:eastAsia="Times New Roman" w:hAnsi="Arial" w:cs="Arial"/>
                <w:color w:val="000000"/>
                <w:kern w:val="0"/>
                <w:sz w:val="24"/>
                <w:szCs w:val="24"/>
                <w:lang w:eastAsia="en-IN"/>
                <w14:ligatures w14:val="none"/>
              </w:rPr>
              <w:t>200,000 + (-</w:t>
            </w:r>
            <w:r w:rsidRPr="00DC1BB7">
              <w:rPr>
                <w:rFonts w:ascii="Arial" w:eastAsia="Times New Roman" w:hAnsi="Arial" w:cs="Arial"/>
                <w:color w:val="000000"/>
                <w:kern w:val="0"/>
                <w:sz w:val="24"/>
                <w:szCs w:val="24"/>
                <w:lang w:eastAsia="en-IN"/>
                <w14:ligatures w14:val="none"/>
              </w:rPr>
              <w:t>₹</w:t>
            </w:r>
            <w:r w:rsidR="00163BE3" w:rsidRPr="00DC1BB7">
              <w:rPr>
                <w:rFonts w:ascii="Arial" w:eastAsia="Times New Roman" w:hAnsi="Arial" w:cs="Arial"/>
                <w:color w:val="000000"/>
                <w:kern w:val="0"/>
                <w:sz w:val="24"/>
                <w:szCs w:val="24"/>
                <w:lang w:eastAsia="en-IN"/>
                <w14:ligatures w14:val="none"/>
              </w:rPr>
              <w:t>300,000) = -100,000</w:t>
            </w:r>
          </w:p>
        </w:tc>
      </w:tr>
    </w:tbl>
    <w:p w14:paraId="449D8ED1" w14:textId="77777777" w:rsidR="001847DC" w:rsidRPr="00DC1BB7" w:rsidRDefault="001847DC" w:rsidP="00DC1BB7">
      <w:pPr>
        <w:pStyle w:val="ListParagraph"/>
        <w:jc w:val="both"/>
        <w:rPr>
          <w:rFonts w:ascii="Arial" w:hAnsi="Arial" w:cs="Arial"/>
          <w:sz w:val="24"/>
          <w:szCs w:val="24"/>
        </w:rPr>
      </w:pPr>
    </w:p>
    <w:p w14:paraId="260958A3" w14:textId="77777777" w:rsidR="001847DC" w:rsidRPr="00DC1BB7" w:rsidRDefault="001847DC" w:rsidP="00DC1BB7">
      <w:pPr>
        <w:pStyle w:val="NormalWeb"/>
        <w:shd w:val="clear" w:color="auto" w:fill="FFFFFF"/>
        <w:jc w:val="both"/>
        <w:rPr>
          <w:rFonts w:ascii="Arial" w:hAnsi="Arial" w:cs="Arial"/>
          <w:color w:val="374151"/>
        </w:rPr>
      </w:pPr>
    </w:p>
    <w:p w14:paraId="0D9493F1" w14:textId="77777777" w:rsidR="00B65110" w:rsidRPr="00DC1BB7" w:rsidRDefault="00B65110" w:rsidP="00DC1BB7">
      <w:pPr>
        <w:pStyle w:val="NormalWeb"/>
        <w:shd w:val="clear" w:color="auto" w:fill="FFFFFF"/>
        <w:jc w:val="both"/>
        <w:rPr>
          <w:rFonts w:ascii="Arial" w:hAnsi="Arial" w:cs="Arial"/>
          <w:color w:val="374151"/>
          <w:shd w:val="clear" w:color="auto" w:fill="FFFFFF"/>
        </w:rPr>
      </w:pPr>
    </w:p>
    <w:p w14:paraId="49139AA8" w14:textId="77777777" w:rsidR="009B17E4" w:rsidRPr="00DC1BB7" w:rsidRDefault="009B17E4" w:rsidP="00DC1BB7">
      <w:pPr>
        <w:pStyle w:val="NormalWeb"/>
        <w:shd w:val="clear" w:color="auto" w:fill="FFFFFF"/>
        <w:jc w:val="both"/>
        <w:rPr>
          <w:rFonts w:ascii="Arial" w:hAnsi="Arial" w:cs="Arial"/>
          <w:color w:val="374151"/>
        </w:rPr>
      </w:pPr>
    </w:p>
    <w:p w14:paraId="093ABB36" w14:textId="58646BE5" w:rsidR="008B4CC2" w:rsidRPr="00DC1BB7" w:rsidRDefault="008B4CC2" w:rsidP="00DC1BB7">
      <w:pPr>
        <w:pStyle w:val="NormalWeb"/>
        <w:shd w:val="clear" w:color="auto" w:fill="FFFFFF"/>
        <w:spacing w:before="0" w:beforeAutospacing="0" w:after="0" w:afterAutospacing="0" w:line="480" w:lineRule="atLeast"/>
        <w:jc w:val="both"/>
        <w:rPr>
          <w:rFonts w:ascii="Arial" w:hAnsi="Arial" w:cs="Arial"/>
          <w:spacing w:val="1"/>
          <w:shd w:val="clear" w:color="auto" w:fill="FFFFFF"/>
        </w:rPr>
      </w:pPr>
    </w:p>
    <w:sectPr w:rsidR="008B4CC2" w:rsidRPr="00DC1B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system-ui">
    <w:altName w:val="Cambria"/>
    <w:panose1 w:val="00000000000000000000"/>
    <w:charset w:val="00"/>
    <w:family w:val="roman"/>
    <w:notTrueType/>
    <w:pitch w:val="default"/>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EE0532"/>
    <w:multiLevelType w:val="multilevel"/>
    <w:tmpl w:val="16F07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F6646C"/>
    <w:multiLevelType w:val="multilevel"/>
    <w:tmpl w:val="A6FC7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A50C72"/>
    <w:multiLevelType w:val="hybridMultilevel"/>
    <w:tmpl w:val="4A6EB78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E150DCF"/>
    <w:multiLevelType w:val="multilevel"/>
    <w:tmpl w:val="CCF8C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FC4DDE"/>
    <w:multiLevelType w:val="hybridMultilevel"/>
    <w:tmpl w:val="2E76C5A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4C922F76"/>
    <w:multiLevelType w:val="hybridMultilevel"/>
    <w:tmpl w:val="3386E6D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5E884E0C"/>
    <w:multiLevelType w:val="multilevel"/>
    <w:tmpl w:val="E07C7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D74BBE"/>
    <w:multiLevelType w:val="hybridMultilevel"/>
    <w:tmpl w:val="F5CA01DE"/>
    <w:lvl w:ilvl="0" w:tplc="0CC417DA">
      <w:start w:val="1"/>
      <w:numFmt w:val="lowerRoman"/>
      <w:lvlText w:val="%1."/>
      <w:lvlJc w:val="left"/>
      <w:pPr>
        <w:ind w:left="458" w:hanging="269"/>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D82797E">
      <w:numFmt w:val="bullet"/>
      <w:lvlText w:val="•"/>
      <w:lvlJc w:val="left"/>
      <w:pPr>
        <w:ind w:left="1092" w:hanging="269"/>
      </w:pPr>
      <w:rPr>
        <w:rFonts w:hint="default"/>
        <w:lang w:val="en-US" w:eastAsia="en-US" w:bidi="ar-SA"/>
      </w:rPr>
    </w:lvl>
    <w:lvl w:ilvl="2" w:tplc="512A202A">
      <w:numFmt w:val="bullet"/>
      <w:lvlText w:val="•"/>
      <w:lvlJc w:val="left"/>
      <w:pPr>
        <w:ind w:left="1725" w:hanging="269"/>
      </w:pPr>
      <w:rPr>
        <w:rFonts w:hint="default"/>
        <w:lang w:val="en-US" w:eastAsia="en-US" w:bidi="ar-SA"/>
      </w:rPr>
    </w:lvl>
    <w:lvl w:ilvl="3" w:tplc="567ADEC4">
      <w:numFmt w:val="bullet"/>
      <w:lvlText w:val="•"/>
      <w:lvlJc w:val="left"/>
      <w:pPr>
        <w:ind w:left="2357" w:hanging="269"/>
      </w:pPr>
      <w:rPr>
        <w:rFonts w:hint="default"/>
        <w:lang w:val="en-US" w:eastAsia="en-US" w:bidi="ar-SA"/>
      </w:rPr>
    </w:lvl>
    <w:lvl w:ilvl="4" w:tplc="BBA66552">
      <w:numFmt w:val="bullet"/>
      <w:lvlText w:val="•"/>
      <w:lvlJc w:val="left"/>
      <w:pPr>
        <w:ind w:left="2990" w:hanging="269"/>
      </w:pPr>
      <w:rPr>
        <w:rFonts w:hint="default"/>
        <w:lang w:val="en-US" w:eastAsia="en-US" w:bidi="ar-SA"/>
      </w:rPr>
    </w:lvl>
    <w:lvl w:ilvl="5" w:tplc="51DCB414">
      <w:numFmt w:val="bullet"/>
      <w:lvlText w:val="•"/>
      <w:lvlJc w:val="left"/>
      <w:pPr>
        <w:ind w:left="3622" w:hanging="269"/>
      </w:pPr>
      <w:rPr>
        <w:rFonts w:hint="default"/>
        <w:lang w:val="en-US" w:eastAsia="en-US" w:bidi="ar-SA"/>
      </w:rPr>
    </w:lvl>
    <w:lvl w:ilvl="6" w:tplc="0A72F182">
      <w:numFmt w:val="bullet"/>
      <w:lvlText w:val="•"/>
      <w:lvlJc w:val="left"/>
      <w:pPr>
        <w:ind w:left="4255" w:hanging="269"/>
      </w:pPr>
      <w:rPr>
        <w:rFonts w:hint="default"/>
        <w:lang w:val="en-US" w:eastAsia="en-US" w:bidi="ar-SA"/>
      </w:rPr>
    </w:lvl>
    <w:lvl w:ilvl="7" w:tplc="A5426FDC">
      <w:numFmt w:val="bullet"/>
      <w:lvlText w:val="•"/>
      <w:lvlJc w:val="left"/>
      <w:pPr>
        <w:ind w:left="4887" w:hanging="269"/>
      </w:pPr>
      <w:rPr>
        <w:rFonts w:hint="default"/>
        <w:lang w:val="en-US" w:eastAsia="en-US" w:bidi="ar-SA"/>
      </w:rPr>
    </w:lvl>
    <w:lvl w:ilvl="8" w:tplc="CC6E20AE">
      <w:numFmt w:val="bullet"/>
      <w:lvlText w:val="•"/>
      <w:lvlJc w:val="left"/>
      <w:pPr>
        <w:ind w:left="5520" w:hanging="269"/>
      </w:pPr>
      <w:rPr>
        <w:rFonts w:hint="default"/>
        <w:lang w:val="en-US" w:eastAsia="en-US" w:bidi="ar-SA"/>
      </w:rPr>
    </w:lvl>
  </w:abstractNum>
  <w:abstractNum w:abstractNumId="8" w15:restartNumberingAfterBreak="0">
    <w:nsid w:val="6BCD656A"/>
    <w:multiLevelType w:val="hybridMultilevel"/>
    <w:tmpl w:val="F4061D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6D15191D"/>
    <w:multiLevelType w:val="multilevel"/>
    <w:tmpl w:val="234EC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8A6C3F"/>
    <w:multiLevelType w:val="multilevel"/>
    <w:tmpl w:val="0AA82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02210">
    <w:abstractNumId w:val="4"/>
  </w:num>
  <w:num w:numId="2" w16cid:durableId="970330013">
    <w:abstractNumId w:val="2"/>
  </w:num>
  <w:num w:numId="3" w16cid:durableId="1706716505">
    <w:abstractNumId w:val="7"/>
  </w:num>
  <w:num w:numId="4" w16cid:durableId="2025091310">
    <w:abstractNumId w:val="3"/>
  </w:num>
  <w:num w:numId="5" w16cid:durableId="508561441">
    <w:abstractNumId w:val="6"/>
  </w:num>
  <w:num w:numId="6" w16cid:durableId="1929579848">
    <w:abstractNumId w:val="0"/>
  </w:num>
  <w:num w:numId="7" w16cid:durableId="1869492364">
    <w:abstractNumId w:val="1"/>
  </w:num>
  <w:num w:numId="8" w16cid:durableId="797720353">
    <w:abstractNumId w:val="5"/>
  </w:num>
  <w:num w:numId="9" w16cid:durableId="1836872050">
    <w:abstractNumId w:val="8"/>
  </w:num>
  <w:num w:numId="10" w16cid:durableId="685835841">
    <w:abstractNumId w:val="10"/>
  </w:num>
  <w:num w:numId="11" w16cid:durableId="118891380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0D4"/>
    <w:rsid w:val="00001547"/>
    <w:rsid w:val="00035AEB"/>
    <w:rsid w:val="00086A33"/>
    <w:rsid w:val="000D44D6"/>
    <w:rsid w:val="000E7E34"/>
    <w:rsid w:val="00133AA5"/>
    <w:rsid w:val="00150FDE"/>
    <w:rsid w:val="00163BE3"/>
    <w:rsid w:val="001847DC"/>
    <w:rsid w:val="001911CB"/>
    <w:rsid w:val="00193F8E"/>
    <w:rsid w:val="001C3EE8"/>
    <w:rsid w:val="001F249A"/>
    <w:rsid w:val="002306C6"/>
    <w:rsid w:val="002343A3"/>
    <w:rsid w:val="00252AA5"/>
    <w:rsid w:val="00295D23"/>
    <w:rsid w:val="002B08BC"/>
    <w:rsid w:val="002C4CDD"/>
    <w:rsid w:val="002C7C4E"/>
    <w:rsid w:val="003422B7"/>
    <w:rsid w:val="0037598C"/>
    <w:rsid w:val="0044372E"/>
    <w:rsid w:val="00466DD8"/>
    <w:rsid w:val="004A48C1"/>
    <w:rsid w:val="004C31C7"/>
    <w:rsid w:val="00517619"/>
    <w:rsid w:val="00532B62"/>
    <w:rsid w:val="00533FD4"/>
    <w:rsid w:val="00631535"/>
    <w:rsid w:val="006662B1"/>
    <w:rsid w:val="006A53BA"/>
    <w:rsid w:val="00713A67"/>
    <w:rsid w:val="00741A53"/>
    <w:rsid w:val="00784EE2"/>
    <w:rsid w:val="007A1645"/>
    <w:rsid w:val="007D35D4"/>
    <w:rsid w:val="007F1E97"/>
    <w:rsid w:val="008A3976"/>
    <w:rsid w:val="008B4CC2"/>
    <w:rsid w:val="008F06E7"/>
    <w:rsid w:val="00922850"/>
    <w:rsid w:val="009B17E4"/>
    <w:rsid w:val="00A26EDC"/>
    <w:rsid w:val="00A46C00"/>
    <w:rsid w:val="00A533EA"/>
    <w:rsid w:val="00A70ED1"/>
    <w:rsid w:val="00A97F47"/>
    <w:rsid w:val="00AD349A"/>
    <w:rsid w:val="00B65110"/>
    <w:rsid w:val="00BB17C1"/>
    <w:rsid w:val="00BD5F6C"/>
    <w:rsid w:val="00BE40D4"/>
    <w:rsid w:val="00BF47E8"/>
    <w:rsid w:val="00BF650B"/>
    <w:rsid w:val="00C03770"/>
    <w:rsid w:val="00C21C9C"/>
    <w:rsid w:val="00C22DF5"/>
    <w:rsid w:val="00C760BD"/>
    <w:rsid w:val="00C86DEB"/>
    <w:rsid w:val="00C916F3"/>
    <w:rsid w:val="00CA3F05"/>
    <w:rsid w:val="00D0178C"/>
    <w:rsid w:val="00D8098D"/>
    <w:rsid w:val="00DC1BB7"/>
    <w:rsid w:val="00DE6725"/>
    <w:rsid w:val="00E34BC6"/>
    <w:rsid w:val="00EB62D9"/>
    <w:rsid w:val="00EF5D6C"/>
    <w:rsid w:val="00F31FD0"/>
    <w:rsid w:val="00F7114D"/>
    <w:rsid w:val="00F72F80"/>
    <w:rsid w:val="00FB5679"/>
    <w:rsid w:val="00FC15EF"/>
    <w:rsid w:val="00FF1A8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0BE0C"/>
  <w15:chartTrackingRefBased/>
  <w15:docId w15:val="{92F00599-83E3-4707-97DE-704C3F96B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713A67"/>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paragraph" w:styleId="Heading3">
    <w:name w:val="heading 3"/>
    <w:basedOn w:val="Normal"/>
    <w:next w:val="Normal"/>
    <w:link w:val="Heading3Char"/>
    <w:uiPriority w:val="9"/>
    <w:semiHidden/>
    <w:unhideWhenUsed/>
    <w:qFormat/>
    <w:rsid w:val="00CA3F0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1847D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1E97"/>
    <w:pPr>
      <w:ind w:left="720"/>
      <w:contextualSpacing/>
    </w:pPr>
  </w:style>
  <w:style w:type="paragraph" w:styleId="BodyText">
    <w:name w:val="Body Text"/>
    <w:basedOn w:val="Normal"/>
    <w:link w:val="BodyTextChar"/>
    <w:uiPriority w:val="1"/>
    <w:qFormat/>
    <w:rsid w:val="00517619"/>
    <w:pPr>
      <w:widowControl w:val="0"/>
      <w:autoSpaceDE w:val="0"/>
      <w:autoSpaceDN w:val="0"/>
      <w:spacing w:after="0" w:line="240" w:lineRule="auto"/>
    </w:pPr>
    <w:rPr>
      <w:rFonts w:ascii="Times New Roman" w:eastAsia="Times New Roman" w:hAnsi="Times New Roman" w:cs="Times New Roman"/>
      <w:kern w:val="0"/>
      <w:sz w:val="24"/>
      <w:szCs w:val="24"/>
      <w:lang w:val="en-US"/>
      <w14:ligatures w14:val="none"/>
    </w:rPr>
  </w:style>
  <w:style w:type="character" w:customStyle="1" w:styleId="BodyTextChar">
    <w:name w:val="Body Text Char"/>
    <w:basedOn w:val="DefaultParagraphFont"/>
    <w:link w:val="BodyText"/>
    <w:uiPriority w:val="1"/>
    <w:rsid w:val="00517619"/>
    <w:rPr>
      <w:rFonts w:ascii="Times New Roman" w:eastAsia="Times New Roman" w:hAnsi="Times New Roman" w:cs="Times New Roman"/>
      <w:kern w:val="0"/>
      <w:sz w:val="24"/>
      <w:szCs w:val="24"/>
      <w:lang w:val="en-US"/>
      <w14:ligatures w14:val="none"/>
    </w:rPr>
  </w:style>
  <w:style w:type="paragraph" w:customStyle="1" w:styleId="TableParagraph">
    <w:name w:val="Table Paragraph"/>
    <w:basedOn w:val="Normal"/>
    <w:uiPriority w:val="1"/>
    <w:qFormat/>
    <w:rsid w:val="00517619"/>
    <w:pPr>
      <w:widowControl w:val="0"/>
      <w:autoSpaceDE w:val="0"/>
      <w:autoSpaceDN w:val="0"/>
      <w:spacing w:after="0" w:line="256" w:lineRule="exact"/>
      <w:ind w:left="108"/>
    </w:pPr>
    <w:rPr>
      <w:rFonts w:ascii="Times New Roman" w:eastAsia="Times New Roman" w:hAnsi="Times New Roman" w:cs="Times New Roman"/>
      <w:kern w:val="0"/>
      <w:lang w:val="en-US"/>
      <w14:ligatures w14:val="none"/>
    </w:rPr>
  </w:style>
  <w:style w:type="character" w:customStyle="1" w:styleId="Heading2Char">
    <w:name w:val="Heading 2 Char"/>
    <w:basedOn w:val="DefaultParagraphFont"/>
    <w:link w:val="Heading2"/>
    <w:uiPriority w:val="9"/>
    <w:rsid w:val="00713A67"/>
    <w:rPr>
      <w:rFonts w:ascii="Times New Roman" w:eastAsia="Times New Roman" w:hAnsi="Times New Roman" w:cs="Times New Roman"/>
      <w:b/>
      <w:bCs/>
      <w:kern w:val="0"/>
      <w:sz w:val="36"/>
      <w:szCs w:val="36"/>
      <w:lang w:eastAsia="en-IN"/>
      <w14:ligatures w14:val="none"/>
    </w:rPr>
  </w:style>
  <w:style w:type="paragraph" w:styleId="NormalWeb">
    <w:name w:val="Normal (Web)"/>
    <w:basedOn w:val="Normal"/>
    <w:uiPriority w:val="99"/>
    <w:unhideWhenUsed/>
    <w:rsid w:val="00713A6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713A67"/>
    <w:rPr>
      <w:b/>
      <w:bCs/>
    </w:rPr>
  </w:style>
  <w:style w:type="character" w:styleId="Hyperlink">
    <w:name w:val="Hyperlink"/>
    <w:basedOn w:val="DefaultParagraphFont"/>
    <w:uiPriority w:val="99"/>
    <w:semiHidden/>
    <w:unhideWhenUsed/>
    <w:rsid w:val="00713A67"/>
    <w:rPr>
      <w:color w:val="0000FF"/>
      <w:u w:val="single"/>
    </w:rPr>
  </w:style>
  <w:style w:type="character" w:customStyle="1" w:styleId="Heading3Char">
    <w:name w:val="Heading 3 Char"/>
    <w:basedOn w:val="DefaultParagraphFont"/>
    <w:link w:val="Heading3"/>
    <w:uiPriority w:val="9"/>
    <w:semiHidden/>
    <w:rsid w:val="00CA3F05"/>
    <w:rPr>
      <w:rFonts w:asciiTheme="majorHAnsi" w:eastAsiaTheme="majorEastAsia" w:hAnsiTheme="majorHAnsi" w:cstheme="majorBidi"/>
      <w:color w:val="1F3763" w:themeColor="accent1" w:themeShade="7F"/>
      <w:sz w:val="24"/>
      <w:szCs w:val="24"/>
    </w:rPr>
  </w:style>
  <w:style w:type="paragraph" w:customStyle="1" w:styleId="term-definition">
    <w:name w:val="term-definition"/>
    <w:basedOn w:val="Normal"/>
    <w:rsid w:val="002B08BC"/>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customStyle="1" w:styleId="comp">
    <w:name w:val="comp"/>
    <w:basedOn w:val="Normal"/>
    <w:rsid w:val="002C7C4E"/>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customStyle="1" w:styleId="mmarkdown-p-tag">
    <w:name w:val="m__markdown-p-tag"/>
    <w:basedOn w:val="Normal"/>
    <w:rsid w:val="001F249A"/>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4Char">
    <w:name w:val="Heading 4 Char"/>
    <w:basedOn w:val="DefaultParagraphFont"/>
    <w:link w:val="Heading4"/>
    <w:uiPriority w:val="9"/>
    <w:semiHidden/>
    <w:rsid w:val="001847DC"/>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224302">
      <w:bodyDiv w:val="1"/>
      <w:marLeft w:val="0"/>
      <w:marRight w:val="0"/>
      <w:marTop w:val="0"/>
      <w:marBottom w:val="0"/>
      <w:divBdr>
        <w:top w:val="none" w:sz="0" w:space="0" w:color="auto"/>
        <w:left w:val="none" w:sz="0" w:space="0" w:color="auto"/>
        <w:bottom w:val="none" w:sz="0" w:space="0" w:color="auto"/>
        <w:right w:val="none" w:sz="0" w:space="0" w:color="auto"/>
      </w:divBdr>
      <w:divsChild>
        <w:div w:id="797382707">
          <w:marLeft w:val="0"/>
          <w:marRight w:val="0"/>
          <w:marTop w:val="0"/>
          <w:marBottom w:val="0"/>
          <w:divBdr>
            <w:top w:val="none" w:sz="0" w:space="0" w:color="auto"/>
            <w:left w:val="none" w:sz="0" w:space="0" w:color="auto"/>
            <w:bottom w:val="none" w:sz="0" w:space="0" w:color="auto"/>
            <w:right w:val="none" w:sz="0" w:space="0" w:color="auto"/>
          </w:divBdr>
          <w:divsChild>
            <w:div w:id="243882725">
              <w:marLeft w:val="0"/>
              <w:marRight w:val="0"/>
              <w:marTop w:val="0"/>
              <w:marBottom w:val="0"/>
              <w:divBdr>
                <w:top w:val="none" w:sz="0" w:space="0" w:color="auto"/>
                <w:left w:val="none" w:sz="0" w:space="0" w:color="auto"/>
                <w:bottom w:val="none" w:sz="0" w:space="0" w:color="auto"/>
                <w:right w:val="none" w:sz="0" w:space="0" w:color="auto"/>
              </w:divBdr>
              <w:divsChild>
                <w:div w:id="96423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87145">
      <w:bodyDiv w:val="1"/>
      <w:marLeft w:val="0"/>
      <w:marRight w:val="0"/>
      <w:marTop w:val="0"/>
      <w:marBottom w:val="0"/>
      <w:divBdr>
        <w:top w:val="none" w:sz="0" w:space="0" w:color="auto"/>
        <w:left w:val="none" w:sz="0" w:space="0" w:color="auto"/>
        <w:bottom w:val="none" w:sz="0" w:space="0" w:color="auto"/>
        <w:right w:val="none" w:sz="0" w:space="0" w:color="auto"/>
      </w:divBdr>
    </w:div>
    <w:div w:id="206256162">
      <w:bodyDiv w:val="1"/>
      <w:marLeft w:val="0"/>
      <w:marRight w:val="0"/>
      <w:marTop w:val="0"/>
      <w:marBottom w:val="0"/>
      <w:divBdr>
        <w:top w:val="none" w:sz="0" w:space="0" w:color="auto"/>
        <w:left w:val="none" w:sz="0" w:space="0" w:color="auto"/>
        <w:bottom w:val="none" w:sz="0" w:space="0" w:color="auto"/>
        <w:right w:val="none" w:sz="0" w:space="0" w:color="auto"/>
      </w:divBdr>
    </w:div>
    <w:div w:id="348602513">
      <w:bodyDiv w:val="1"/>
      <w:marLeft w:val="0"/>
      <w:marRight w:val="0"/>
      <w:marTop w:val="0"/>
      <w:marBottom w:val="0"/>
      <w:divBdr>
        <w:top w:val="none" w:sz="0" w:space="0" w:color="auto"/>
        <w:left w:val="none" w:sz="0" w:space="0" w:color="auto"/>
        <w:bottom w:val="none" w:sz="0" w:space="0" w:color="auto"/>
        <w:right w:val="none" w:sz="0" w:space="0" w:color="auto"/>
      </w:divBdr>
    </w:div>
    <w:div w:id="429860046">
      <w:bodyDiv w:val="1"/>
      <w:marLeft w:val="0"/>
      <w:marRight w:val="0"/>
      <w:marTop w:val="0"/>
      <w:marBottom w:val="0"/>
      <w:divBdr>
        <w:top w:val="none" w:sz="0" w:space="0" w:color="auto"/>
        <w:left w:val="none" w:sz="0" w:space="0" w:color="auto"/>
        <w:bottom w:val="none" w:sz="0" w:space="0" w:color="auto"/>
        <w:right w:val="none" w:sz="0" w:space="0" w:color="auto"/>
      </w:divBdr>
    </w:div>
    <w:div w:id="431629465">
      <w:bodyDiv w:val="1"/>
      <w:marLeft w:val="0"/>
      <w:marRight w:val="0"/>
      <w:marTop w:val="0"/>
      <w:marBottom w:val="0"/>
      <w:divBdr>
        <w:top w:val="none" w:sz="0" w:space="0" w:color="auto"/>
        <w:left w:val="none" w:sz="0" w:space="0" w:color="auto"/>
        <w:bottom w:val="none" w:sz="0" w:space="0" w:color="auto"/>
        <w:right w:val="none" w:sz="0" w:space="0" w:color="auto"/>
      </w:divBdr>
    </w:div>
    <w:div w:id="489447711">
      <w:bodyDiv w:val="1"/>
      <w:marLeft w:val="0"/>
      <w:marRight w:val="0"/>
      <w:marTop w:val="0"/>
      <w:marBottom w:val="0"/>
      <w:divBdr>
        <w:top w:val="none" w:sz="0" w:space="0" w:color="auto"/>
        <w:left w:val="none" w:sz="0" w:space="0" w:color="auto"/>
        <w:bottom w:val="none" w:sz="0" w:space="0" w:color="auto"/>
        <w:right w:val="none" w:sz="0" w:space="0" w:color="auto"/>
      </w:divBdr>
    </w:div>
    <w:div w:id="523062171">
      <w:bodyDiv w:val="1"/>
      <w:marLeft w:val="0"/>
      <w:marRight w:val="0"/>
      <w:marTop w:val="0"/>
      <w:marBottom w:val="0"/>
      <w:divBdr>
        <w:top w:val="none" w:sz="0" w:space="0" w:color="auto"/>
        <w:left w:val="none" w:sz="0" w:space="0" w:color="auto"/>
        <w:bottom w:val="none" w:sz="0" w:space="0" w:color="auto"/>
        <w:right w:val="none" w:sz="0" w:space="0" w:color="auto"/>
      </w:divBdr>
    </w:div>
    <w:div w:id="569195854">
      <w:bodyDiv w:val="1"/>
      <w:marLeft w:val="0"/>
      <w:marRight w:val="0"/>
      <w:marTop w:val="0"/>
      <w:marBottom w:val="0"/>
      <w:divBdr>
        <w:top w:val="none" w:sz="0" w:space="0" w:color="auto"/>
        <w:left w:val="none" w:sz="0" w:space="0" w:color="auto"/>
        <w:bottom w:val="none" w:sz="0" w:space="0" w:color="auto"/>
        <w:right w:val="none" w:sz="0" w:space="0" w:color="auto"/>
      </w:divBdr>
    </w:div>
    <w:div w:id="618145184">
      <w:bodyDiv w:val="1"/>
      <w:marLeft w:val="0"/>
      <w:marRight w:val="0"/>
      <w:marTop w:val="0"/>
      <w:marBottom w:val="0"/>
      <w:divBdr>
        <w:top w:val="none" w:sz="0" w:space="0" w:color="auto"/>
        <w:left w:val="none" w:sz="0" w:space="0" w:color="auto"/>
        <w:bottom w:val="none" w:sz="0" w:space="0" w:color="auto"/>
        <w:right w:val="none" w:sz="0" w:space="0" w:color="auto"/>
      </w:divBdr>
    </w:div>
    <w:div w:id="631402338">
      <w:bodyDiv w:val="1"/>
      <w:marLeft w:val="0"/>
      <w:marRight w:val="0"/>
      <w:marTop w:val="0"/>
      <w:marBottom w:val="0"/>
      <w:divBdr>
        <w:top w:val="none" w:sz="0" w:space="0" w:color="auto"/>
        <w:left w:val="none" w:sz="0" w:space="0" w:color="auto"/>
        <w:bottom w:val="none" w:sz="0" w:space="0" w:color="auto"/>
        <w:right w:val="none" w:sz="0" w:space="0" w:color="auto"/>
      </w:divBdr>
    </w:div>
    <w:div w:id="638219623">
      <w:bodyDiv w:val="1"/>
      <w:marLeft w:val="0"/>
      <w:marRight w:val="0"/>
      <w:marTop w:val="0"/>
      <w:marBottom w:val="0"/>
      <w:divBdr>
        <w:top w:val="none" w:sz="0" w:space="0" w:color="auto"/>
        <w:left w:val="none" w:sz="0" w:space="0" w:color="auto"/>
        <w:bottom w:val="none" w:sz="0" w:space="0" w:color="auto"/>
        <w:right w:val="none" w:sz="0" w:space="0" w:color="auto"/>
      </w:divBdr>
      <w:divsChild>
        <w:div w:id="318190281">
          <w:marLeft w:val="0"/>
          <w:marRight w:val="0"/>
          <w:marTop w:val="0"/>
          <w:marBottom w:val="0"/>
          <w:divBdr>
            <w:top w:val="none" w:sz="0" w:space="0" w:color="auto"/>
            <w:left w:val="none" w:sz="0" w:space="0" w:color="auto"/>
            <w:bottom w:val="none" w:sz="0" w:space="0" w:color="auto"/>
            <w:right w:val="none" w:sz="0" w:space="0" w:color="auto"/>
          </w:divBdr>
          <w:divsChild>
            <w:div w:id="1607420366">
              <w:marLeft w:val="0"/>
              <w:marRight w:val="0"/>
              <w:marTop w:val="0"/>
              <w:marBottom w:val="0"/>
              <w:divBdr>
                <w:top w:val="none" w:sz="0" w:space="0" w:color="auto"/>
                <w:left w:val="none" w:sz="0" w:space="0" w:color="auto"/>
                <w:bottom w:val="none" w:sz="0" w:space="0" w:color="auto"/>
                <w:right w:val="none" w:sz="0" w:space="0" w:color="auto"/>
              </w:divBdr>
              <w:divsChild>
                <w:div w:id="1261403886">
                  <w:marLeft w:val="0"/>
                  <w:marRight w:val="0"/>
                  <w:marTop w:val="0"/>
                  <w:marBottom w:val="0"/>
                  <w:divBdr>
                    <w:top w:val="none" w:sz="0" w:space="0" w:color="auto"/>
                    <w:left w:val="none" w:sz="0" w:space="0" w:color="auto"/>
                    <w:bottom w:val="none" w:sz="0" w:space="0" w:color="auto"/>
                    <w:right w:val="none" w:sz="0" w:space="0" w:color="auto"/>
                  </w:divBdr>
                  <w:divsChild>
                    <w:div w:id="205337592">
                      <w:marLeft w:val="0"/>
                      <w:marRight w:val="0"/>
                      <w:marTop w:val="0"/>
                      <w:marBottom w:val="0"/>
                      <w:divBdr>
                        <w:top w:val="none" w:sz="0" w:space="0" w:color="auto"/>
                        <w:left w:val="none" w:sz="0" w:space="0" w:color="auto"/>
                        <w:bottom w:val="none" w:sz="0" w:space="0" w:color="auto"/>
                        <w:right w:val="none" w:sz="0" w:space="0" w:color="auto"/>
                      </w:divBdr>
                      <w:divsChild>
                        <w:div w:id="1114712516">
                          <w:marLeft w:val="0"/>
                          <w:marRight w:val="0"/>
                          <w:marTop w:val="0"/>
                          <w:marBottom w:val="0"/>
                          <w:divBdr>
                            <w:top w:val="none" w:sz="0" w:space="0" w:color="auto"/>
                            <w:left w:val="none" w:sz="0" w:space="0" w:color="auto"/>
                            <w:bottom w:val="none" w:sz="0" w:space="0" w:color="auto"/>
                            <w:right w:val="none" w:sz="0" w:space="0" w:color="auto"/>
                          </w:divBdr>
                        </w:div>
                        <w:div w:id="1734044256">
                          <w:marLeft w:val="0"/>
                          <w:marRight w:val="0"/>
                          <w:marTop w:val="0"/>
                          <w:marBottom w:val="0"/>
                          <w:divBdr>
                            <w:top w:val="none" w:sz="0" w:space="0" w:color="auto"/>
                            <w:left w:val="none" w:sz="0" w:space="0" w:color="auto"/>
                            <w:bottom w:val="none" w:sz="0" w:space="0" w:color="auto"/>
                            <w:right w:val="none" w:sz="0" w:space="0" w:color="auto"/>
                          </w:divBdr>
                        </w:div>
                        <w:div w:id="54863652">
                          <w:marLeft w:val="0"/>
                          <w:marRight w:val="0"/>
                          <w:marTop w:val="0"/>
                          <w:marBottom w:val="0"/>
                          <w:divBdr>
                            <w:top w:val="none" w:sz="0" w:space="0" w:color="auto"/>
                            <w:left w:val="none" w:sz="0" w:space="0" w:color="auto"/>
                            <w:bottom w:val="none" w:sz="0" w:space="0" w:color="auto"/>
                            <w:right w:val="none" w:sz="0" w:space="0" w:color="auto"/>
                          </w:divBdr>
                        </w:div>
                        <w:div w:id="520902341">
                          <w:marLeft w:val="0"/>
                          <w:marRight w:val="0"/>
                          <w:marTop w:val="0"/>
                          <w:marBottom w:val="0"/>
                          <w:divBdr>
                            <w:top w:val="none" w:sz="0" w:space="0" w:color="auto"/>
                            <w:left w:val="none" w:sz="0" w:space="0" w:color="auto"/>
                            <w:bottom w:val="none" w:sz="0" w:space="0" w:color="auto"/>
                            <w:right w:val="none" w:sz="0" w:space="0" w:color="auto"/>
                          </w:divBdr>
                        </w:div>
                        <w:div w:id="1481532601">
                          <w:marLeft w:val="0"/>
                          <w:marRight w:val="0"/>
                          <w:marTop w:val="0"/>
                          <w:marBottom w:val="0"/>
                          <w:divBdr>
                            <w:top w:val="none" w:sz="0" w:space="0" w:color="auto"/>
                            <w:left w:val="none" w:sz="0" w:space="0" w:color="auto"/>
                            <w:bottom w:val="none" w:sz="0" w:space="0" w:color="auto"/>
                            <w:right w:val="none" w:sz="0" w:space="0" w:color="auto"/>
                          </w:divBdr>
                        </w:div>
                        <w:div w:id="560554909">
                          <w:marLeft w:val="0"/>
                          <w:marRight w:val="0"/>
                          <w:marTop w:val="0"/>
                          <w:marBottom w:val="0"/>
                          <w:divBdr>
                            <w:top w:val="none" w:sz="0" w:space="0" w:color="auto"/>
                            <w:left w:val="none" w:sz="0" w:space="0" w:color="auto"/>
                            <w:bottom w:val="none" w:sz="0" w:space="0" w:color="auto"/>
                            <w:right w:val="none" w:sz="0" w:space="0" w:color="auto"/>
                          </w:divBdr>
                        </w:div>
                        <w:div w:id="317266369">
                          <w:marLeft w:val="0"/>
                          <w:marRight w:val="0"/>
                          <w:marTop w:val="0"/>
                          <w:marBottom w:val="0"/>
                          <w:divBdr>
                            <w:top w:val="none" w:sz="0" w:space="0" w:color="auto"/>
                            <w:left w:val="none" w:sz="0" w:space="0" w:color="auto"/>
                            <w:bottom w:val="none" w:sz="0" w:space="0" w:color="auto"/>
                            <w:right w:val="none" w:sz="0" w:space="0" w:color="auto"/>
                          </w:divBdr>
                        </w:div>
                        <w:div w:id="446048499">
                          <w:marLeft w:val="0"/>
                          <w:marRight w:val="0"/>
                          <w:marTop w:val="0"/>
                          <w:marBottom w:val="0"/>
                          <w:divBdr>
                            <w:top w:val="none" w:sz="0" w:space="0" w:color="auto"/>
                            <w:left w:val="none" w:sz="0" w:space="0" w:color="auto"/>
                            <w:bottom w:val="none" w:sz="0" w:space="0" w:color="auto"/>
                            <w:right w:val="none" w:sz="0" w:space="0" w:color="auto"/>
                          </w:divBdr>
                        </w:div>
                        <w:div w:id="327833192">
                          <w:marLeft w:val="0"/>
                          <w:marRight w:val="0"/>
                          <w:marTop w:val="0"/>
                          <w:marBottom w:val="0"/>
                          <w:divBdr>
                            <w:top w:val="none" w:sz="0" w:space="0" w:color="auto"/>
                            <w:left w:val="none" w:sz="0" w:space="0" w:color="auto"/>
                            <w:bottom w:val="none" w:sz="0" w:space="0" w:color="auto"/>
                            <w:right w:val="none" w:sz="0" w:space="0" w:color="auto"/>
                          </w:divBdr>
                        </w:div>
                        <w:div w:id="1898398742">
                          <w:marLeft w:val="0"/>
                          <w:marRight w:val="0"/>
                          <w:marTop w:val="0"/>
                          <w:marBottom w:val="0"/>
                          <w:divBdr>
                            <w:top w:val="none" w:sz="0" w:space="0" w:color="auto"/>
                            <w:left w:val="none" w:sz="0" w:space="0" w:color="auto"/>
                            <w:bottom w:val="none" w:sz="0" w:space="0" w:color="auto"/>
                            <w:right w:val="none" w:sz="0" w:space="0" w:color="auto"/>
                          </w:divBdr>
                        </w:div>
                        <w:div w:id="175852045">
                          <w:marLeft w:val="0"/>
                          <w:marRight w:val="0"/>
                          <w:marTop w:val="0"/>
                          <w:marBottom w:val="0"/>
                          <w:divBdr>
                            <w:top w:val="none" w:sz="0" w:space="0" w:color="auto"/>
                            <w:left w:val="none" w:sz="0" w:space="0" w:color="auto"/>
                            <w:bottom w:val="none" w:sz="0" w:space="0" w:color="auto"/>
                            <w:right w:val="none" w:sz="0" w:space="0" w:color="auto"/>
                          </w:divBdr>
                        </w:div>
                        <w:div w:id="29578864">
                          <w:marLeft w:val="0"/>
                          <w:marRight w:val="0"/>
                          <w:marTop w:val="0"/>
                          <w:marBottom w:val="0"/>
                          <w:divBdr>
                            <w:top w:val="none" w:sz="0" w:space="0" w:color="auto"/>
                            <w:left w:val="none" w:sz="0" w:space="0" w:color="auto"/>
                            <w:bottom w:val="none" w:sz="0" w:space="0" w:color="auto"/>
                            <w:right w:val="none" w:sz="0" w:space="0" w:color="auto"/>
                          </w:divBdr>
                        </w:div>
                        <w:div w:id="865366794">
                          <w:marLeft w:val="0"/>
                          <w:marRight w:val="0"/>
                          <w:marTop w:val="0"/>
                          <w:marBottom w:val="0"/>
                          <w:divBdr>
                            <w:top w:val="none" w:sz="0" w:space="0" w:color="auto"/>
                            <w:left w:val="none" w:sz="0" w:space="0" w:color="auto"/>
                            <w:bottom w:val="none" w:sz="0" w:space="0" w:color="auto"/>
                            <w:right w:val="none" w:sz="0" w:space="0" w:color="auto"/>
                          </w:divBdr>
                        </w:div>
                        <w:div w:id="1637176610">
                          <w:marLeft w:val="0"/>
                          <w:marRight w:val="0"/>
                          <w:marTop w:val="0"/>
                          <w:marBottom w:val="0"/>
                          <w:divBdr>
                            <w:top w:val="none" w:sz="0" w:space="0" w:color="auto"/>
                            <w:left w:val="none" w:sz="0" w:space="0" w:color="auto"/>
                            <w:bottom w:val="none" w:sz="0" w:space="0" w:color="auto"/>
                            <w:right w:val="none" w:sz="0" w:space="0" w:color="auto"/>
                          </w:divBdr>
                        </w:div>
                        <w:div w:id="355931769">
                          <w:marLeft w:val="0"/>
                          <w:marRight w:val="0"/>
                          <w:marTop w:val="0"/>
                          <w:marBottom w:val="0"/>
                          <w:divBdr>
                            <w:top w:val="none" w:sz="0" w:space="0" w:color="auto"/>
                            <w:left w:val="none" w:sz="0" w:space="0" w:color="auto"/>
                            <w:bottom w:val="none" w:sz="0" w:space="0" w:color="auto"/>
                            <w:right w:val="none" w:sz="0" w:space="0" w:color="auto"/>
                          </w:divBdr>
                        </w:div>
                        <w:div w:id="636838707">
                          <w:marLeft w:val="0"/>
                          <w:marRight w:val="0"/>
                          <w:marTop w:val="0"/>
                          <w:marBottom w:val="0"/>
                          <w:divBdr>
                            <w:top w:val="none" w:sz="0" w:space="0" w:color="auto"/>
                            <w:left w:val="none" w:sz="0" w:space="0" w:color="auto"/>
                            <w:bottom w:val="none" w:sz="0" w:space="0" w:color="auto"/>
                            <w:right w:val="none" w:sz="0" w:space="0" w:color="auto"/>
                          </w:divBdr>
                        </w:div>
                        <w:div w:id="1192643368">
                          <w:marLeft w:val="0"/>
                          <w:marRight w:val="0"/>
                          <w:marTop w:val="0"/>
                          <w:marBottom w:val="0"/>
                          <w:divBdr>
                            <w:top w:val="none" w:sz="0" w:space="0" w:color="auto"/>
                            <w:left w:val="none" w:sz="0" w:space="0" w:color="auto"/>
                            <w:bottom w:val="none" w:sz="0" w:space="0" w:color="auto"/>
                            <w:right w:val="none" w:sz="0" w:space="0" w:color="auto"/>
                          </w:divBdr>
                        </w:div>
                        <w:div w:id="1519462482">
                          <w:marLeft w:val="0"/>
                          <w:marRight w:val="0"/>
                          <w:marTop w:val="0"/>
                          <w:marBottom w:val="0"/>
                          <w:divBdr>
                            <w:top w:val="none" w:sz="0" w:space="0" w:color="auto"/>
                            <w:left w:val="none" w:sz="0" w:space="0" w:color="auto"/>
                            <w:bottom w:val="none" w:sz="0" w:space="0" w:color="auto"/>
                            <w:right w:val="none" w:sz="0" w:space="0" w:color="auto"/>
                          </w:divBdr>
                        </w:div>
                        <w:div w:id="1643147699">
                          <w:marLeft w:val="0"/>
                          <w:marRight w:val="0"/>
                          <w:marTop w:val="0"/>
                          <w:marBottom w:val="0"/>
                          <w:divBdr>
                            <w:top w:val="none" w:sz="0" w:space="0" w:color="auto"/>
                            <w:left w:val="none" w:sz="0" w:space="0" w:color="auto"/>
                            <w:bottom w:val="none" w:sz="0" w:space="0" w:color="auto"/>
                            <w:right w:val="none" w:sz="0" w:space="0" w:color="auto"/>
                          </w:divBdr>
                        </w:div>
                        <w:div w:id="200823404">
                          <w:marLeft w:val="0"/>
                          <w:marRight w:val="0"/>
                          <w:marTop w:val="0"/>
                          <w:marBottom w:val="0"/>
                          <w:divBdr>
                            <w:top w:val="none" w:sz="0" w:space="0" w:color="auto"/>
                            <w:left w:val="none" w:sz="0" w:space="0" w:color="auto"/>
                            <w:bottom w:val="none" w:sz="0" w:space="0" w:color="auto"/>
                            <w:right w:val="none" w:sz="0" w:space="0" w:color="auto"/>
                          </w:divBdr>
                        </w:div>
                        <w:div w:id="753284270">
                          <w:marLeft w:val="0"/>
                          <w:marRight w:val="0"/>
                          <w:marTop w:val="0"/>
                          <w:marBottom w:val="0"/>
                          <w:divBdr>
                            <w:top w:val="none" w:sz="0" w:space="0" w:color="auto"/>
                            <w:left w:val="none" w:sz="0" w:space="0" w:color="auto"/>
                            <w:bottom w:val="none" w:sz="0" w:space="0" w:color="auto"/>
                            <w:right w:val="none" w:sz="0" w:space="0" w:color="auto"/>
                          </w:divBdr>
                        </w:div>
                        <w:div w:id="324599856">
                          <w:marLeft w:val="0"/>
                          <w:marRight w:val="0"/>
                          <w:marTop w:val="0"/>
                          <w:marBottom w:val="0"/>
                          <w:divBdr>
                            <w:top w:val="none" w:sz="0" w:space="0" w:color="auto"/>
                            <w:left w:val="none" w:sz="0" w:space="0" w:color="auto"/>
                            <w:bottom w:val="none" w:sz="0" w:space="0" w:color="auto"/>
                            <w:right w:val="none" w:sz="0" w:space="0" w:color="auto"/>
                          </w:divBdr>
                        </w:div>
                        <w:div w:id="878013972">
                          <w:marLeft w:val="0"/>
                          <w:marRight w:val="0"/>
                          <w:marTop w:val="0"/>
                          <w:marBottom w:val="0"/>
                          <w:divBdr>
                            <w:top w:val="none" w:sz="0" w:space="0" w:color="auto"/>
                            <w:left w:val="none" w:sz="0" w:space="0" w:color="auto"/>
                            <w:bottom w:val="none" w:sz="0" w:space="0" w:color="auto"/>
                            <w:right w:val="none" w:sz="0" w:space="0" w:color="auto"/>
                          </w:divBdr>
                        </w:div>
                        <w:div w:id="297342339">
                          <w:marLeft w:val="0"/>
                          <w:marRight w:val="0"/>
                          <w:marTop w:val="0"/>
                          <w:marBottom w:val="0"/>
                          <w:divBdr>
                            <w:top w:val="none" w:sz="0" w:space="0" w:color="auto"/>
                            <w:left w:val="none" w:sz="0" w:space="0" w:color="auto"/>
                            <w:bottom w:val="none" w:sz="0" w:space="0" w:color="auto"/>
                            <w:right w:val="none" w:sz="0" w:space="0" w:color="auto"/>
                          </w:divBdr>
                        </w:div>
                        <w:div w:id="1067992325">
                          <w:marLeft w:val="0"/>
                          <w:marRight w:val="0"/>
                          <w:marTop w:val="0"/>
                          <w:marBottom w:val="0"/>
                          <w:divBdr>
                            <w:top w:val="none" w:sz="0" w:space="0" w:color="auto"/>
                            <w:left w:val="none" w:sz="0" w:space="0" w:color="auto"/>
                            <w:bottom w:val="none" w:sz="0" w:space="0" w:color="auto"/>
                            <w:right w:val="none" w:sz="0" w:space="0" w:color="auto"/>
                          </w:divBdr>
                        </w:div>
                        <w:div w:id="1688018823">
                          <w:marLeft w:val="0"/>
                          <w:marRight w:val="0"/>
                          <w:marTop w:val="0"/>
                          <w:marBottom w:val="0"/>
                          <w:divBdr>
                            <w:top w:val="none" w:sz="0" w:space="0" w:color="auto"/>
                            <w:left w:val="none" w:sz="0" w:space="0" w:color="auto"/>
                            <w:bottom w:val="none" w:sz="0" w:space="0" w:color="auto"/>
                            <w:right w:val="none" w:sz="0" w:space="0" w:color="auto"/>
                          </w:divBdr>
                        </w:div>
                        <w:div w:id="211585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85891">
                  <w:marLeft w:val="0"/>
                  <w:marRight w:val="0"/>
                  <w:marTop w:val="0"/>
                  <w:marBottom w:val="0"/>
                  <w:divBdr>
                    <w:top w:val="none" w:sz="0" w:space="0" w:color="auto"/>
                    <w:left w:val="none" w:sz="0" w:space="0" w:color="auto"/>
                    <w:bottom w:val="none" w:sz="0" w:space="0" w:color="auto"/>
                    <w:right w:val="none" w:sz="0" w:space="0" w:color="auto"/>
                  </w:divBdr>
                  <w:divsChild>
                    <w:div w:id="544951061">
                      <w:marLeft w:val="0"/>
                      <w:marRight w:val="0"/>
                      <w:marTop w:val="0"/>
                      <w:marBottom w:val="0"/>
                      <w:divBdr>
                        <w:top w:val="none" w:sz="0" w:space="0" w:color="auto"/>
                        <w:left w:val="none" w:sz="0" w:space="0" w:color="auto"/>
                        <w:bottom w:val="none" w:sz="0" w:space="0" w:color="auto"/>
                        <w:right w:val="none" w:sz="0" w:space="0" w:color="auto"/>
                      </w:divBdr>
                    </w:div>
                  </w:divsChild>
                </w:div>
                <w:div w:id="1830247883">
                  <w:marLeft w:val="0"/>
                  <w:marRight w:val="0"/>
                  <w:marTop w:val="0"/>
                  <w:marBottom w:val="0"/>
                  <w:divBdr>
                    <w:top w:val="none" w:sz="0" w:space="0" w:color="auto"/>
                    <w:left w:val="none" w:sz="0" w:space="0" w:color="auto"/>
                    <w:bottom w:val="none" w:sz="0" w:space="0" w:color="auto"/>
                    <w:right w:val="none" w:sz="0" w:space="0" w:color="auto"/>
                  </w:divBdr>
                  <w:divsChild>
                    <w:div w:id="81992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639643">
          <w:marLeft w:val="0"/>
          <w:marRight w:val="0"/>
          <w:marTop w:val="0"/>
          <w:marBottom w:val="0"/>
          <w:divBdr>
            <w:top w:val="none" w:sz="0" w:space="0" w:color="auto"/>
            <w:left w:val="none" w:sz="0" w:space="0" w:color="auto"/>
            <w:bottom w:val="none" w:sz="0" w:space="0" w:color="auto"/>
            <w:right w:val="none" w:sz="0" w:space="0" w:color="auto"/>
          </w:divBdr>
          <w:divsChild>
            <w:div w:id="1203666559">
              <w:marLeft w:val="0"/>
              <w:marRight w:val="0"/>
              <w:marTop w:val="0"/>
              <w:marBottom w:val="0"/>
              <w:divBdr>
                <w:top w:val="none" w:sz="0" w:space="0" w:color="auto"/>
                <w:left w:val="none" w:sz="0" w:space="0" w:color="auto"/>
                <w:bottom w:val="none" w:sz="0" w:space="0" w:color="auto"/>
                <w:right w:val="none" w:sz="0" w:space="0" w:color="auto"/>
              </w:divBdr>
              <w:divsChild>
                <w:div w:id="154810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083089">
      <w:bodyDiv w:val="1"/>
      <w:marLeft w:val="0"/>
      <w:marRight w:val="0"/>
      <w:marTop w:val="0"/>
      <w:marBottom w:val="0"/>
      <w:divBdr>
        <w:top w:val="none" w:sz="0" w:space="0" w:color="auto"/>
        <w:left w:val="none" w:sz="0" w:space="0" w:color="auto"/>
        <w:bottom w:val="none" w:sz="0" w:space="0" w:color="auto"/>
        <w:right w:val="none" w:sz="0" w:space="0" w:color="auto"/>
      </w:divBdr>
    </w:div>
    <w:div w:id="770199809">
      <w:bodyDiv w:val="1"/>
      <w:marLeft w:val="0"/>
      <w:marRight w:val="0"/>
      <w:marTop w:val="0"/>
      <w:marBottom w:val="0"/>
      <w:divBdr>
        <w:top w:val="none" w:sz="0" w:space="0" w:color="auto"/>
        <w:left w:val="none" w:sz="0" w:space="0" w:color="auto"/>
        <w:bottom w:val="none" w:sz="0" w:space="0" w:color="auto"/>
        <w:right w:val="none" w:sz="0" w:space="0" w:color="auto"/>
      </w:divBdr>
    </w:div>
    <w:div w:id="947009142">
      <w:bodyDiv w:val="1"/>
      <w:marLeft w:val="0"/>
      <w:marRight w:val="0"/>
      <w:marTop w:val="0"/>
      <w:marBottom w:val="0"/>
      <w:divBdr>
        <w:top w:val="none" w:sz="0" w:space="0" w:color="auto"/>
        <w:left w:val="none" w:sz="0" w:space="0" w:color="auto"/>
        <w:bottom w:val="none" w:sz="0" w:space="0" w:color="auto"/>
        <w:right w:val="none" w:sz="0" w:space="0" w:color="auto"/>
      </w:divBdr>
    </w:div>
    <w:div w:id="1015426706">
      <w:bodyDiv w:val="1"/>
      <w:marLeft w:val="0"/>
      <w:marRight w:val="0"/>
      <w:marTop w:val="0"/>
      <w:marBottom w:val="0"/>
      <w:divBdr>
        <w:top w:val="none" w:sz="0" w:space="0" w:color="auto"/>
        <w:left w:val="none" w:sz="0" w:space="0" w:color="auto"/>
        <w:bottom w:val="none" w:sz="0" w:space="0" w:color="auto"/>
        <w:right w:val="none" w:sz="0" w:space="0" w:color="auto"/>
      </w:divBdr>
    </w:div>
    <w:div w:id="1114013413">
      <w:bodyDiv w:val="1"/>
      <w:marLeft w:val="0"/>
      <w:marRight w:val="0"/>
      <w:marTop w:val="0"/>
      <w:marBottom w:val="0"/>
      <w:divBdr>
        <w:top w:val="none" w:sz="0" w:space="0" w:color="auto"/>
        <w:left w:val="none" w:sz="0" w:space="0" w:color="auto"/>
        <w:bottom w:val="none" w:sz="0" w:space="0" w:color="auto"/>
        <w:right w:val="none" w:sz="0" w:space="0" w:color="auto"/>
      </w:divBdr>
    </w:div>
    <w:div w:id="1184826965">
      <w:bodyDiv w:val="1"/>
      <w:marLeft w:val="0"/>
      <w:marRight w:val="0"/>
      <w:marTop w:val="0"/>
      <w:marBottom w:val="0"/>
      <w:divBdr>
        <w:top w:val="none" w:sz="0" w:space="0" w:color="auto"/>
        <w:left w:val="none" w:sz="0" w:space="0" w:color="auto"/>
        <w:bottom w:val="none" w:sz="0" w:space="0" w:color="auto"/>
        <w:right w:val="none" w:sz="0" w:space="0" w:color="auto"/>
      </w:divBdr>
    </w:div>
    <w:div w:id="1228875733">
      <w:bodyDiv w:val="1"/>
      <w:marLeft w:val="0"/>
      <w:marRight w:val="0"/>
      <w:marTop w:val="0"/>
      <w:marBottom w:val="0"/>
      <w:divBdr>
        <w:top w:val="none" w:sz="0" w:space="0" w:color="auto"/>
        <w:left w:val="none" w:sz="0" w:space="0" w:color="auto"/>
        <w:bottom w:val="none" w:sz="0" w:space="0" w:color="auto"/>
        <w:right w:val="none" w:sz="0" w:space="0" w:color="auto"/>
      </w:divBdr>
    </w:div>
    <w:div w:id="1256279649">
      <w:bodyDiv w:val="1"/>
      <w:marLeft w:val="0"/>
      <w:marRight w:val="0"/>
      <w:marTop w:val="0"/>
      <w:marBottom w:val="0"/>
      <w:divBdr>
        <w:top w:val="none" w:sz="0" w:space="0" w:color="auto"/>
        <w:left w:val="none" w:sz="0" w:space="0" w:color="auto"/>
        <w:bottom w:val="none" w:sz="0" w:space="0" w:color="auto"/>
        <w:right w:val="none" w:sz="0" w:space="0" w:color="auto"/>
      </w:divBdr>
    </w:div>
    <w:div w:id="1262839648">
      <w:bodyDiv w:val="1"/>
      <w:marLeft w:val="0"/>
      <w:marRight w:val="0"/>
      <w:marTop w:val="0"/>
      <w:marBottom w:val="0"/>
      <w:divBdr>
        <w:top w:val="none" w:sz="0" w:space="0" w:color="auto"/>
        <w:left w:val="none" w:sz="0" w:space="0" w:color="auto"/>
        <w:bottom w:val="none" w:sz="0" w:space="0" w:color="auto"/>
        <w:right w:val="none" w:sz="0" w:space="0" w:color="auto"/>
      </w:divBdr>
      <w:divsChild>
        <w:div w:id="423696792">
          <w:marLeft w:val="0"/>
          <w:marRight w:val="0"/>
          <w:marTop w:val="0"/>
          <w:marBottom w:val="0"/>
          <w:divBdr>
            <w:top w:val="none" w:sz="0" w:space="0" w:color="auto"/>
            <w:left w:val="none" w:sz="0" w:space="0" w:color="auto"/>
            <w:bottom w:val="none" w:sz="0" w:space="0" w:color="auto"/>
            <w:right w:val="none" w:sz="0" w:space="0" w:color="auto"/>
          </w:divBdr>
        </w:div>
        <w:div w:id="1489711029">
          <w:marLeft w:val="0"/>
          <w:marRight w:val="0"/>
          <w:marTop w:val="0"/>
          <w:marBottom w:val="0"/>
          <w:divBdr>
            <w:top w:val="none" w:sz="0" w:space="0" w:color="auto"/>
            <w:left w:val="none" w:sz="0" w:space="0" w:color="auto"/>
            <w:bottom w:val="none" w:sz="0" w:space="0" w:color="auto"/>
            <w:right w:val="none" w:sz="0" w:space="0" w:color="auto"/>
          </w:divBdr>
          <w:divsChild>
            <w:div w:id="1550453182">
              <w:marLeft w:val="0"/>
              <w:marRight w:val="0"/>
              <w:marTop w:val="525"/>
              <w:marBottom w:val="525"/>
              <w:divBdr>
                <w:top w:val="none" w:sz="0" w:space="0" w:color="auto"/>
                <w:left w:val="none" w:sz="0" w:space="0" w:color="auto"/>
                <w:bottom w:val="none" w:sz="0" w:space="0" w:color="auto"/>
                <w:right w:val="none" w:sz="0" w:space="0" w:color="auto"/>
              </w:divBdr>
              <w:divsChild>
                <w:div w:id="1899125508">
                  <w:marLeft w:val="0"/>
                  <w:marRight w:val="0"/>
                  <w:marTop w:val="0"/>
                  <w:marBottom w:val="240"/>
                  <w:divBdr>
                    <w:top w:val="none" w:sz="0" w:space="0" w:color="auto"/>
                    <w:left w:val="none" w:sz="0" w:space="0" w:color="auto"/>
                    <w:bottom w:val="none" w:sz="0" w:space="0" w:color="auto"/>
                    <w:right w:val="none" w:sz="0" w:space="0" w:color="auto"/>
                  </w:divBdr>
                  <w:divsChild>
                    <w:div w:id="206786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905658">
      <w:bodyDiv w:val="1"/>
      <w:marLeft w:val="0"/>
      <w:marRight w:val="0"/>
      <w:marTop w:val="0"/>
      <w:marBottom w:val="0"/>
      <w:divBdr>
        <w:top w:val="none" w:sz="0" w:space="0" w:color="auto"/>
        <w:left w:val="none" w:sz="0" w:space="0" w:color="auto"/>
        <w:bottom w:val="none" w:sz="0" w:space="0" w:color="auto"/>
        <w:right w:val="none" w:sz="0" w:space="0" w:color="auto"/>
      </w:divBdr>
    </w:div>
    <w:div w:id="1370572524">
      <w:bodyDiv w:val="1"/>
      <w:marLeft w:val="0"/>
      <w:marRight w:val="0"/>
      <w:marTop w:val="0"/>
      <w:marBottom w:val="0"/>
      <w:divBdr>
        <w:top w:val="none" w:sz="0" w:space="0" w:color="auto"/>
        <w:left w:val="none" w:sz="0" w:space="0" w:color="auto"/>
        <w:bottom w:val="none" w:sz="0" w:space="0" w:color="auto"/>
        <w:right w:val="none" w:sz="0" w:space="0" w:color="auto"/>
      </w:divBdr>
    </w:div>
    <w:div w:id="1561789044">
      <w:bodyDiv w:val="1"/>
      <w:marLeft w:val="0"/>
      <w:marRight w:val="0"/>
      <w:marTop w:val="0"/>
      <w:marBottom w:val="0"/>
      <w:divBdr>
        <w:top w:val="none" w:sz="0" w:space="0" w:color="auto"/>
        <w:left w:val="none" w:sz="0" w:space="0" w:color="auto"/>
        <w:bottom w:val="none" w:sz="0" w:space="0" w:color="auto"/>
        <w:right w:val="none" w:sz="0" w:space="0" w:color="auto"/>
      </w:divBdr>
    </w:div>
    <w:div w:id="1677003626">
      <w:bodyDiv w:val="1"/>
      <w:marLeft w:val="0"/>
      <w:marRight w:val="0"/>
      <w:marTop w:val="0"/>
      <w:marBottom w:val="0"/>
      <w:divBdr>
        <w:top w:val="none" w:sz="0" w:space="0" w:color="auto"/>
        <w:left w:val="none" w:sz="0" w:space="0" w:color="auto"/>
        <w:bottom w:val="none" w:sz="0" w:space="0" w:color="auto"/>
        <w:right w:val="none" w:sz="0" w:space="0" w:color="auto"/>
      </w:divBdr>
    </w:div>
    <w:div w:id="1689604002">
      <w:bodyDiv w:val="1"/>
      <w:marLeft w:val="0"/>
      <w:marRight w:val="0"/>
      <w:marTop w:val="0"/>
      <w:marBottom w:val="0"/>
      <w:divBdr>
        <w:top w:val="none" w:sz="0" w:space="0" w:color="auto"/>
        <w:left w:val="none" w:sz="0" w:space="0" w:color="auto"/>
        <w:bottom w:val="none" w:sz="0" w:space="0" w:color="auto"/>
        <w:right w:val="none" w:sz="0" w:space="0" w:color="auto"/>
      </w:divBdr>
    </w:div>
    <w:div w:id="1754693411">
      <w:bodyDiv w:val="1"/>
      <w:marLeft w:val="0"/>
      <w:marRight w:val="0"/>
      <w:marTop w:val="0"/>
      <w:marBottom w:val="0"/>
      <w:divBdr>
        <w:top w:val="none" w:sz="0" w:space="0" w:color="auto"/>
        <w:left w:val="none" w:sz="0" w:space="0" w:color="auto"/>
        <w:bottom w:val="none" w:sz="0" w:space="0" w:color="auto"/>
        <w:right w:val="none" w:sz="0" w:space="0" w:color="auto"/>
      </w:divBdr>
    </w:div>
    <w:div w:id="1756823650">
      <w:bodyDiv w:val="1"/>
      <w:marLeft w:val="0"/>
      <w:marRight w:val="0"/>
      <w:marTop w:val="0"/>
      <w:marBottom w:val="0"/>
      <w:divBdr>
        <w:top w:val="none" w:sz="0" w:space="0" w:color="auto"/>
        <w:left w:val="none" w:sz="0" w:space="0" w:color="auto"/>
        <w:bottom w:val="none" w:sz="0" w:space="0" w:color="auto"/>
        <w:right w:val="none" w:sz="0" w:space="0" w:color="auto"/>
      </w:divBdr>
    </w:div>
    <w:div w:id="1766196017">
      <w:bodyDiv w:val="1"/>
      <w:marLeft w:val="0"/>
      <w:marRight w:val="0"/>
      <w:marTop w:val="0"/>
      <w:marBottom w:val="0"/>
      <w:divBdr>
        <w:top w:val="none" w:sz="0" w:space="0" w:color="auto"/>
        <w:left w:val="none" w:sz="0" w:space="0" w:color="auto"/>
        <w:bottom w:val="none" w:sz="0" w:space="0" w:color="auto"/>
        <w:right w:val="none" w:sz="0" w:space="0" w:color="auto"/>
      </w:divBdr>
    </w:div>
    <w:div w:id="1840266889">
      <w:bodyDiv w:val="1"/>
      <w:marLeft w:val="0"/>
      <w:marRight w:val="0"/>
      <w:marTop w:val="0"/>
      <w:marBottom w:val="0"/>
      <w:divBdr>
        <w:top w:val="none" w:sz="0" w:space="0" w:color="auto"/>
        <w:left w:val="none" w:sz="0" w:space="0" w:color="auto"/>
        <w:bottom w:val="none" w:sz="0" w:space="0" w:color="auto"/>
        <w:right w:val="none" w:sz="0" w:space="0" w:color="auto"/>
      </w:divBdr>
    </w:div>
    <w:div w:id="1917350451">
      <w:bodyDiv w:val="1"/>
      <w:marLeft w:val="0"/>
      <w:marRight w:val="0"/>
      <w:marTop w:val="0"/>
      <w:marBottom w:val="0"/>
      <w:divBdr>
        <w:top w:val="none" w:sz="0" w:space="0" w:color="auto"/>
        <w:left w:val="none" w:sz="0" w:space="0" w:color="auto"/>
        <w:bottom w:val="none" w:sz="0" w:space="0" w:color="auto"/>
        <w:right w:val="none" w:sz="0" w:space="0" w:color="auto"/>
      </w:divBdr>
    </w:div>
    <w:div w:id="1941255784">
      <w:bodyDiv w:val="1"/>
      <w:marLeft w:val="0"/>
      <w:marRight w:val="0"/>
      <w:marTop w:val="0"/>
      <w:marBottom w:val="0"/>
      <w:divBdr>
        <w:top w:val="none" w:sz="0" w:space="0" w:color="auto"/>
        <w:left w:val="none" w:sz="0" w:space="0" w:color="auto"/>
        <w:bottom w:val="none" w:sz="0" w:space="0" w:color="auto"/>
        <w:right w:val="none" w:sz="0" w:space="0" w:color="auto"/>
      </w:divBdr>
      <w:divsChild>
        <w:div w:id="269750847">
          <w:marLeft w:val="0"/>
          <w:marRight w:val="0"/>
          <w:marTop w:val="0"/>
          <w:marBottom w:val="0"/>
          <w:divBdr>
            <w:top w:val="none" w:sz="0" w:space="0" w:color="auto"/>
            <w:left w:val="none" w:sz="0" w:space="0" w:color="auto"/>
            <w:bottom w:val="none" w:sz="0" w:space="0" w:color="auto"/>
            <w:right w:val="none" w:sz="0" w:space="0" w:color="auto"/>
          </w:divBdr>
        </w:div>
        <w:div w:id="2137942531">
          <w:marLeft w:val="0"/>
          <w:marRight w:val="0"/>
          <w:marTop w:val="0"/>
          <w:marBottom w:val="0"/>
          <w:divBdr>
            <w:top w:val="none" w:sz="0" w:space="0" w:color="auto"/>
            <w:left w:val="none" w:sz="0" w:space="0" w:color="auto"/>
            <w:bottom w:val="none" w:sz="0" w:space="0" w:color="auto"/>
            <w:right w:val="none" w:sz="0" w:space="0" w:color="auto"/>
          </w:divBdr>
        </w:div>
        <w:div w:id="279344130">
          <w:marLeft w:val="0"/>
          <w:marRight w:val="0"/>
          <w:marTop w:val="0"/>
          <w:marBottom w:val="0"/>
          <w:divBdr>
            <w:top w:val="none" w:sz="0" w:space="0" w:color="auto"/>
            <w:left w:val="none" w:sz="0" w:space="0" w:color="auto"/>
            <w:bottom w:val="none" w:sz="0" w:space="0" w:color="auto"/>
            <w:right w:val="none" w:sz="0" w:space="0" w:color="auto"/>
          </w:divBdr>
        </w:div>
        <w:div w:id="457845603">
          <w:marLeft w:val="0"/>
          <w:marRight w:val="0"/>
          <w:marTop w:val="0"/>
          <w:marBottom w:val="0"/>
          <w:divBdr>
            <w:top w:val="none" w:sz="0" w:space="0" w:color="auto"/>
            <w:left w:val="none" w:sz="0" w:space="0" w:color="auto"/>
            <w:bottom w:val="none" w:sz="0" w:space="0" w:color="auto"/>
            <w:right w:val="none" w:sz="0" w:space="0" w:color="auto"/>
          </w:divBdr>
        </w:div>
        <w:div w:id="2110928985">
          <w:marLeft w:val="0"/>
          <w:marRight w:val="0"/>
          <w:marTop w:val="0"/>
          <w:marBottom w:val="0"/>
          <w:divBdr>
            <w:top w:val="none" w:sz="0" w:space="0" w:color="auto"/>
            <w:left w:val="none" w:sz="0" w:space="0" w:color="auto"/>
            <w:bottom w:val="none" w:sz="0" w:space="0" w:color="auto"/>
            <w:right w:val="none" w:sz="0" w:space="0" w:color="auto"/>
          </w:divBdr>
        </w:div>
        <w:div w:id="892811256">
          <w:marLeft w:val="0"/>
          <w:marRight w:val="0"/>
          <w:marTop w:val="0"/>
          <w:marBottom w:val="0"/>
          <w:divBdr>
            <w:top w:val="none" w:sz="0" w:space="0" w:color="auto"/>
            <w:left w:val="none" w:sz="0" w:space="0" w:color="auto"/>
            <w:bottom w:val="none" w:sz="0" w:space="0" w:color="auto"/>
            <w:right w:val="none" w:sz="0" w:space="0" w:color="auto"/>
          </w:divBdr>
        </w:div>
        <w:div w:id="1127502563">
          <w:marLeft w:val="0"/>
          <w:marRight w:val="0"/>
          <w:marTop w:val="0"/>
          <w:marBottom w:val="0"/>
          <w:divBdr>
            <w:top w:val="none" w:sz="0" w:space="0" w:color="auto"/>
            <w:left w:val="none" w:sz="0" w:space="0" w:color="auto"/>
            <w:bottom w:val="none" w:sz="0" w:space="0" w:color="auto"/>
            <w:right w:val="none" w:sz="0" w:space="0" w:color="auto"/>
          </w:divBdr>
        </w:div>
        <w:div w:id="2041273116">
          <w:marLeft w:val="0"/>
          <w:marRight w:val="0"/>
          <w:marTop w:val="0"/>
          <w:marBottom w:val="0"/>
          <w:divBdr>
            <w:top w:val="none" w:sz="0" w:space="0" w:color="auto"/>
            <w:left w:val="none" w:sz="0" w:space="0" w:color="auto"/>
            <w:bottom w:val="none" w:sz="0" w:space="0" w:color="auto"/>
            <w:right w:val="none" w:sz="0" w:space="0" w:color="auto"/>
          </w:divBdr>
        </w:div>
        <w:div w:id="1991447863">
          <w:marLeft w:val="0"/>
          <w:marRight w:val="0"/>
          <w:marTop w:val="0"/>
          <w:marBottom w:val="0"/>
          <w:divBdr>
            <w:top w:val="none" w:sz="0" w:space="0" w:color="auto"/>
            <w:left w:val="none" w:sz="0" w:space="0" w:color="auto"/>
            <w:bottom w:val="none" w:sz="0" w:space="0" w:color="auto"/>
            <w:right w:val="none" w:sz="0" w:space="0" w:color="auto"/>
          </w:divBdr>
        </w:div>
        <w:div w:id="2064064213">
          <w:marLeft w:val="0"/>
          <w:marRight w:val="0"/>
          <w:marTop w:val="0"/>
          <w:marBottom w:val="0"/>
          <w:divBdr>
            <w:top w:val="none" w:sz="0" w:space="0" w:color="auto"/>
            <w:left w:val="none" w:sz="0" w:space="0" w:color="auto"/>
            <w:bottom w:val="none" w:sz="0" w:space="0" w:color="auto"/>
            <w:right w:val="none" w:sz="0" w:space="0" w:color="auto"/>
          </w:divBdr>
        </w:div>
        <w:div w:id="1969697269">
          <w:marLeft w:val="0"/>
          <w:marRight w:val="0"/>
          <w:marTop w:val="0"/>
          <w:marBottom w:val="0"/>
          <w:divBdr>
            <w:top w:val="none" w:sz="0" w:space="0" w:color="auto"/>
            <w:left w:val="none" w:sz="0" w:space="0" w:color="auto"/>
            <w:bottom w:val="none" w:sz="0" w:space="0" w:color="auto"/>
            <w:right w:val="none" w:sz="0" w:space="0" w:color="auto"/>
          </w:divBdr>
        </w:div>
        <w:div w:id="372970277">
          <w:marLeft w:val="0"/>
          <w:marRight w:val="0"/>
          <w:marTop w:val="0"/>
          <w:marBottom w:val="0"/>
          <w:divBdr>
            <w:top w:val="none" w:sz="0" w:space="0" w:color="auto"/>
            <w:left w:val="none" w:sz="0" w:space="0" w:color="auto"/>
            <w:bottom w:val="none" w:sz="0" w:space="0" w:color="auto"/>
            <w:right w:val="none" w:sz="0" w:space="0" w:color="auto"/>
          </w:divBdr>
        </w:div>
        <w:div w:id="275867514">
          <w:marLeft w:val="0"/>
          <w:marRight w:val="0"/>
          <w:marTop w:val="0"/>
          <w:marBottom w:val="0"/>
          <w:divBdr>
            <w:top w:val="none" w:sz="0" w:space="0" w:color="auto"/>
            <w:left w:val="none" w:sz="0" w:space="0" w:color="auto"/>
            <w:bottom w:val="none" w:sz="0" w:space="0" w:color="auto"/>
            <w:right w:val="none" w:sz="0" w:space="0" w:color="auto"/>
          </w:divBdr>
        </w:div>
        <w:div w:id="1723209928">
          <w:marLeft w:val="0"/>
          <w:marRight w:val="0"/>
          <w:marTop w:val="0"/>
          <w:marBottom w:val="0"/>
          <w:divBdr>
            <w:top w:val="none" w:sz="0" w:space="0" w:color="auto"/>
            <w:left w:val="none" w:sz="0" w:space="0" w:color="auto"/>
            <w:bottom w:val="none" w:sz="0" w:space="0" w:color="auto"/>
            <w:right w:val="none" w:sz="0" w:space="0" w:color="auto"/>
          </w:divBdr>
        </w:div>
        <w:div w:id="989476253">
          <w:marLeft w:val="0"/>
          <w:marRight w:val="0"/>
          <w:marTop w:val="0"/>
          <w:marBottom w:val="0"/>
          <w:divBdr>
            <w:top w:val="none" w:sz="0" w:space="0" w:color="auto"/>
            <w:left w:val="none" w:sz="0" w:space="0" w:color="auto"/>
            <w:bottom w:val="none" w:sz="0" w:space="0" w:color="auto"/>
            <w:right w:val="none" w:sz="0" w:space="0" w:color="auto"/>
          </w:divBdr>
        </w:div>
        <w:div w:id="1342272256">
          <w:marLeft w:val="0"/>
          <w:marRight w:val="0"/>
          <w:marTop w:val="0"/>
          <w:marBottom w:val="0"/>
          <w:divBdr>
            <w:top w:val="none" w:sz="0" w:space="0" w:color="auto"/>
            <w:left w:val="none" w:sz="0" w:space="0" w:color="auto"/>
            <w:bottom w:val="none" w:sz="0" w:space="0" w:color="auto"/>
            <w:right w:val="none" w:sz="0" w:space="0" w:color="auto"/>
          </w:divBdr>
        </w:div>
        <w:div w:id="2023967487">
          <w:marLeft w:val="0"/>
          <w:marRight w:val="0"/>
          <w:marTop w:val="0"/>
          <w:marBottom w:val="0"/>
          <w:divBdr>
            <w:top w:val="none" w:sz="0" w:space="0" w:color="auto"/>
            <w:left w:val="none" w:sz="0" w:space="0" w:color="auto"/>
            <w:bottom w:val="none" w:sz="0" w:space="0" w:color="auto"/>
            <w:right w:val="none" w:sz="0" w:space="0" w:color="auto"/>
          </w:divBdr>
        </w:div>
        <w:div w:id="697121396">
          <w:marLeft w:val="0"/>
          <w:marRight w:val="0"/>
          <w:marTop w:val="0"/>
          <w:marBottom w:val="0"/>
          <w:divBdr>
            <w:top w:val="none" w:sz="0" w:space="0" w:color="auto"/>
            <w:left w:val="none" w:sz="0" w:space="0" w:color="auto"/>
            <w:bottom w:val="none" w:sz="0" w:space="0" w:color="auto"/>
            <w:right w:val="none" w:sz="0" w:space="0" w:color="auto"/>
          </w:divBdr>
        </w:div>
      </w:divsChild>
    </w:div>
    <w:div w:id="2044668213">
      <w:bodyDiv w:val="1"/>
      <w:marLeft w:val="0"/>
      <w:marRight w:val="0"/>
      <w:marTop w:val="0"/>
      <w:marBottom w:val="0"/>
      <w:divBdr>
        <w:top w:val="none" w:sz="0" w:space="0" w:color="auto"/>
        <w:left w:val="none" w:sz="0" w:space="0" w:color="auto"/>
        <w:bottom w:val="none" w:sz="0" w:space="0" w:color="auto"/>
        <w:right w:val="none" w:sz="0" w:space="0" w:color="auto"/>
      </w:divBdr>
    </w:div>
    <w:div w:id="2056157947">
      <w:bodyDiv w:val="1"/>
      <w:marLeft w:val="0"/>
      <w:marRight w:val="0"/>
      <w:marTop w:val="0"/>
      <w:marBottom w:val="0"/>
      <w:divBdr>
        <w:top w:val="none" w:sz="0" w:space="0" w:color="auto"/>
        <w:left w:val="none" w:sz="0" w:space="0" w:color="auto"/>
        <w:bottom w:val="none" w:sz="0" w:space="0" w:color="auto"/>
        <w:right w:val="none" w:sz="0" w:space="0" w:color="auto"/>
      </w:divBdr>
    </w:div>
    <w:div w:id="2108233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asdaq.com/glossary/f/futures" TargetMode="External"/><Relationship Id="rId18" Type="http://schemas.openxmlformats.org/officeDocument/2006/relationships/hyperlink" Target="https://corporatefinanceinstitute.com/resources/career-map/sell-side/capital-markets/public-securities/" TargetMode="External"/><Relationship Id="rId26" Type="http://schemas.openxmlformats.org/officeDocument/2006/relationships/hyperlink" Target="https://corporatefinanceinstitute.com/resources/derivatives/contango-vs-backwardation/" TargetMode="External"/><Relationship Id="rId39" Type="http://schemas.openxmlformats.org/officeDocument/2006/relationships/hyperlink" Target="https://corporatefinanceinstitute.com/resources/derivatives/expiration-date-derivatives/" TargetMode="External"/><Relationship Id="rId21" Type="http://schemas.openxmlformats.org/officeDocument/2006/relationships/hyperlink" Target="https://corporatefinanceinstitute.com/resources/economics/supply-demand/" TargetMode="External"/><Relationship Id="rId34" Type="http://schemas.openxmlformats.org/officeDocument/2006/relationships/hyperlink" Target="https://www.investopedia.com/articles/active-trading/021715/how-protect-short-position-options.asp" TargetMode="External"/><Relationship Id="rId42" Type="http://schemas.openxmlformats.org/officeDocument/2006/relationships/hyperlink" Target="https://corporatefinanceinstitute.com/resources/career-map/sell-side/capital-markets/mispricing/" TargetMode="External"/><Relationship Id="rId7" Type="http://schemas.openxmlformats.org/officeDocument/2006/relationships/hyperlink" Target="https://www.nasdaq.com/glossary/f/futures-contract" TargetMode="External"/><Relationship Id="rId2" Type="http://schemas.openxmlformats.org/officeDocument/2006/relationships/styles" Target="styles.xml"/><Relationship Id="rId16" Type="http://schemas.openxmlformats.org/officeDocument/2006/relationships/hyperlink" Target="https://www.investopedia.com/terms/c/contango.asp" TargetMode="External"/><Relationship Id="rId29" Type="http://schemas.openxmlformats.org/officeDocument/2006/relationships/hyperlink" Target="https://www.angelone.in/knowledge-center/what-are-shares-and-types-of-shares"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nasdaq.com/glossary/t/time-value" TargetMode="External"/><Relationship Id="rId24" Type="http://schemas.openxmlformats.org/officeDocument/2006/relationships/hyperlink" Target="https://corporatefinanceinstitute.com/resources/accounting/types-of-assets/" TargetMode="External"/><Relationship Id="rId32" Type="http://schemas.openxmlformats.org/officeDocument/2006/relationships/hyperlink" Target="https://www.investopedia.com/terms/l/long.asp" TargetMode="External"/><Relationship Id="rId37" Type="http://schemas.openxmlformats.org/officeDocument/2006/relationships/hyperlink" Target="https://www.investopedia.com/terms/l/longhedge.asp" TargetMode="External"/><Relationship Id="rId40" Type="http://schemas.openxmlformats.org/officeDocument/2006/relationships/hyperlink" Target="https://finance.yahoo.com/commodities/" TargetMode="External"/><Relationship Id="rId45" Type="http://schemas.openxmlformats.org/officeDocument/2006/relationships/theme" Target="theme/theme1.xml"/><Relationship Id="rId5" Type="http://schemas.openxmlformats.org/officeDocument/2006/relationships/hyperlink" Target="https://www.icicidirect.com/ilearn/futures-and-options/articles/future-contracts-meaning-types-pros-cons" TargetMode="External"/><Relationship Id="rId15" Type="http://schemas.openxmlformats.org/officeDocument/2006/relationships/hyperlink" Target="https://www.investopedia.com/terms/d/deliverydate.asp" TargetMode="External"/><Relationship Id="rId23" Type="http://schemas.openxmlformats.org/officeDocument/2006/relationships/hyperlink" Target="https://corporatefinanceinstitute.com/resources/career-map/sell-side/capital-markets/winning-mindset-of-a-trader/" TargetMode="External"/><Relationship Id="rId28" Type="http://schemas.openxmlformats.org/officeDocument/2006/relationships/hyperlink" Target="https://groww.in/ipo" TargetMode="External"/><Relationship Id="rId36" Type="http://schemas.openxmlformats.org/officeDocument/2006/relationships/hyperlink" Target="https://www.investopedia.com/terms/m/market-price.asp" TargetMode="External"/><Relationship Id="rId10" Type="http://schemas.openxmlformats.org/officeDocument/2006/relationships/hyperlink" Target="https://www.nasdaq.com/glossary/c/contract" TargetMode="External"/><Relationship Id="rId19" Type="http://schemas.openxmlformats.org/officeDocument/2006/relationships/hyperlink" Target="https://corporatefinanceinstitute.com/resources/career-map/sell-side/capital-markets/arbitrage/" TargetMode="External"/><Relationship Id="rId31" Type="http://schemas.openxmlformats.org/officeDocument/2006/relationships/hyperlink" Target="https://www.investopedia.com/terms/s/speculation.asp"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asdaq.com/glossary/c/cash-commodity" TargetMode="External"/><Relationship Id="rId14" Type="http://schemas.openxmlformats.org/officeDocument/2006/relationships/hyperlink" Target="https://www.nasdaq.com/glossary/c/cash" TargetMode="External"/><Relationship Id="rId22" Type="http://schemas.openxmlformats.org/officeDocument/2006/relationships/hyperlink" Target="https://www.bloomberg.com/news/articles/2018-02-09/vix-is-in-backwardation-here-s-why-and-what-it-means-quicktake" TargetMode="External"/><Relationship Id="rId27" Type="http://schemas.openxmlformats.org/officeDocument/2006/relationships/hyperlink" Target="https://corporatefinanceinstitute.com/resources/accounting/sales-revenue/" TargetMode="External"/><Relationship Id="rId30" Type="http://schemas.openxmlformats.org/officeDocument/2006/relationships/hyperlink" Target="https://www.angelone.in/podcast/what-is-a-trading-strategy" TargetMode="External"/><Relationship Id="rId35" Type="http://schemas.openxmlformats.org/officeDocument/2006/relationships/hyperlink" Target="https://www.investopedia.com/terms/l/longhedge.asp" TargetMode="External"/><Relationship Id="rId43" Type="http://schemas.openxmlformats.org/officeDocument/2006/relationships/image" Target="media/image2.png"/><Relationship Id="rId8" Type="http://schemas.openxmlformats.org/officeDocument/2006/relationships/hyperlink" Target="https://www.nasdaq.com/glossary/u/underlying" TargetMode="External"/><Relationship Id="rId3" Type="http://schemas.openxmlformats.org/officeDocument/2006/relationships/settings" Target="settings.xml"/><Relationship Id="rId12" Type="http://schemas.openxmlformats.org/officeDocument/2006/relationships/hyperlink" Target="https://www.nasdaq.com/glossary/e/expiration" TargetMode="External"/><Relationship Id="rId17" Type="http://schemas.openxmlformats.org/officeDocument/2006/relationships/hyperlink" Target="https://www.investopedia.com/terms/b/backwardation.asp" TargetMode="External"/><Relationship Id="rId25" Type="http://schemas.openxmlformats.org/officeDocument/2006/relationships/hyperlink" Target="https://corporatefinanceinstitute.com/resources/derivatives/hedging-arrangement/" TargetMode="External"/><Relationship Id="rId33" Type="http://schemas.openxmlformats.org/officeDocument/2006/relationships/hyperlink" Target="https://www.investopedia.com/terms/i/inventory.asp" TargetMode="External"/><Relationship Id="rId38" Type="http://schemas.openxmlformats.org/officeDocument/2006/relationships/hyperlink" Target="https://corporatefinanceinstitute.com/resources/career-map/sell-side/capital-markets/long-and-short-positions/" TargetMode="External"/><Relationship Id="rId20" Type="http://schemas.openxmlformats.org/officeDocument/2006/relationships/hyperlink" Target="https://corporatefinanceinstitute.com/resources/derivatives/futures-forwards/" TargetMode="External"/><Relationship Id="rId41" Type="http://schemas.openxmlformats.org/officeDocument/2006/relationships/hyperlink" Target="https://corporatefinanceinstitute.com/resources/derivatives/futures-contra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1331</TotalTime>
  <Pages>1</Pages>
  <Words>6783</Words>
  <Characters>38667</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17</cp:revision>
  <dcterms:created xsi:type="dcterms:W3CDTF">2024-06-30T13:47:00Z</dcterms:created>
  <dcterms:modified xsi:type="dcterms:W3CDTF">2024-07-29T04:22:00Z</dcterms:modified>
</cp:coreProperties>
</file>